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lang w:val="en-US"/>
        </w:rPr>
      </w:pPr>
      <w:r>
        <w:rPr>
          <w:rFonts w:hint="eastAsia"/>
          <w:lang w:val="en-US" w:eastAsia="zh-CN"/>
        </w:rPr>
        <w:t>三大平台的详细功能点需求</w:t>
      </w:r>
      <w:bookmarkStart w:id="0" w:name="_GoBack"/>
      <w:bookmarkEnd w:id="0"/>
    </w:p>
    <w:p>
      <w:pPr>
        <w:pStyle w:val="2"/>
        <w:numPr>
          <w:ilvl w:val="0"/>
          <w:numId w:val="1"/>
        </w:numPr>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中药全流程追溯与智能监管平台功能明细表</w:t>
      </w:r>
    </w:p>
    <w:tbl>
      <w:tblPr>
        <w:tblStyle w:val="5"/>
        <w:tblW w:w="4856" w:type="pct"/>
        <w:jc w:val="center"/>
        <w:tblLayout w:type="autofit"/>
        <w:tblCellMar>
          <w:top w:w="0" w:type="dxa"/>
          <w:left w:w="108" w:type="dxa"/>
          <w:bottom w:w="0" w:type="dxa"/>
          <w:right w:w="108" w:type="dxa"/>
        </w:tblCellMar>
      </w:tblPr>
      <w:tblGrid>
        <w:gridCol w:w="531"/>
        <w:gridCol w:w="892"/>
        <w:gridCol w:w="893"/>
        <w:gridCol w:w="912"/>
        <w:gridCol w:w="1228"/>
        <w:gridCol w:w="3821"/>
      </w:tblGrid>
      <w:tr>
        <w:tblPrEx>
          <w:tblCellMar>
            <w:top w:w="0" w:type="dxa"/>
            <w:left w:w="108" w:type="dxa"/>
            <w:bottom w:w="0" w:type="dxa"/>
            <w:right w:w="108" w:type="dxa"/>
          </w:tblCellMar>
        </w:tblPrEx>
        <w:trPr>
          <w:trHeight w:val="312" w:hRule="atLeast"/>
          <w:jc w:val="center"/>
        </w:trPr>
        <w:tc>
          <w:tcPr>
            <w:tcW w:w="531"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b/>
                <w:bCs/>
                <w:color w:val="000000"/>
                <w:kern w:val="0"/>
                <w:szCs w:val="21"/>
              </w:rPr>
            </w:pPr>
            <w:r>
              <w:rPr>
                <w:rFonts w:hint="eastAsia" w:ascii="仿宋" w:hAnsi="仿宋" w:eastAsia="仿宋" w:cs="宋体"/>
                <w:b/>
                <w:bCs/>
                <w:kern w:val="0"/>
                <w:szCs w:val="21"/>
              </w:rPr>
              <w:t>序号</w:t>
            </w:r>
          </w:p>
        </w:tc>
        <w:tc>
          <w:tcPr>
            <w:tcW w:w="89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b/>
                <w:bCs/>
                <w:color w:val="000000"/>
                <w:kern w:val="0"/>
                <w:szCs w:val="21"/>
              </w:rPr>
            </w:pPr>
            <w:r>
              <w:rPr>
                <w:rFonts w:hint="eastAsia" w:ascii="仿宋" w:hAnsi="仿宋" w:eastAsia="仿宋" w:cs="宋体"/>
                <w:b/>
                <w:bCs/>
                <w:kern w:val="0"/>
                <w:szCs w:val="21"/>
              </w:rPr>
              <w:t>系统</w:t>
            </w:r>
          </w:p>
        </w:tc>
        <w:tc>
          <w:tcPr>
            <w:tcW w:w="893"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b/>
                <w:bCs/>
                <w:color w:val="000000"/>
                <w:kern w:val="0"/>
                <w:szCs w:val="21"/>
              </w:rPr>
            </w:pPr>
            <w:r>
              <w:rPr>
                <w:rFonts w:hint="eastAsia" w:ascii="仿宋" w:hAnsi="仿宋" w:eastAsia="仿宋" w:cs="宋体"/>
                <w:b/>
                <w:bCs/>
                <w:kern w:val="0"/>
                <w:szCs w:val="21"/>
              </w:rPr>
              <w:t>模块</w:t>
            </w:r>
          </w:p>
        </w:tc>
        <w:tc>
          <w:tcPr>
            <w:tcW w:w="912"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b/>
                <w:bCs/>
                <w:color w:val="000000"/>
                <w:kern w:val="0"/>
                <w:szCs w:val="21"/>
              </w:rPr>
            </w:pPr>
            <w:r>
              <w:rPr>
                <w:rFonts w:hint="eastAsia" w:ascii="仿宋" w:hAnsi="仿宋" w:eastAsia="仿宋" w:cs="宋体"/>
                <w:b/>
                <w:bCs/>
                <w:kern w:val="0"/>
                <w:szCs w:val="21"/>
              </w:rPr>
              <w:t>一级功能</w:t>
            </w:r>
          </w:p>
        </w:tc>
        <w:tc>
          <w:tcPr>
            <w:tcW w:w="1228"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b/>
                <w:bCs/>
                <w:color w:val="000000"/>
                <w:kern w:val="0"/>
                <w:szCs w:val="21"/>
              </w:rPr>
            </w:pPr>
            <w:r>
              <w:rPr>
                <w:rFonts w:hint="eastAsia" w:ascii="仿宋" w:hAnsi="仿宋" w:eastAsia="仿宋" w:cs="宋体"/>
                <w:b/>
                <w:bCs/>
                <w:kern w:val="0"/>
                <w:szCs w:val="21"/>
              </w:rPr>
              <w:t>二级功能</w:t>
            </w:r>
          </w:p>
        </w:tc>
        <w:tc>
          <w:tcPr>
            <w:tcW w:w="3821"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b/>
                <w:bCs/>
                <w:color w:val="000000"/>
                <w:kern w:val="0"/>
                <w:szCs w:val="21"/>
              </w:rPr>
            </w:pPr>
            <w:r>
              <w:rPr>
                <w:rFonts w:hint="eastAsia" w:ascii="仿宋" w:hAnsi="仿宋" w:eastAsia="仿宋" w:cs="宋体"/>
                <w:b/>
                <w:bCs/>
                <w:kern w:val="0"/>
                <w:szCs w:val="21"/>
              </w:rPr>
              <w:t>功能描述</w:t>
            </w:r>
          </w:p>
        </w:tc>
      </w:tr>
      <w:tr>
        <w:tblPrEx>
          <w:tblCellMar>
            <w:top w:w="0" w:type="dxa"/>
            <w:left w:w="108" w:type="dxa"/>
            <w:bottom w:w="0" w:type="dxa"/>
            <w:right w:w="108" w:type="dxa"/>
          </w:tblCellMar>
        </w:tblPrEx>
        <w:trPr>
          <w:trHeight w:val="550" w:hRule="atLeast"/>
          <w:jc w:val="center"/>
        </w:trPr>
        <w:tc>
          <w:tcPr>
            <w:tcW w:w="53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b/>
                <w:bCs/>
                <w:color w:val="000000"/>
                <w:kern w:val="0"/>
                <w:szCs w:val="21"/>
              </w:rPr>
            </w:pPr>
          </w:p>
        </w:tc>
        <w:tc>
          <w:tcPr>
            <w:tcW w:w="89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b/>
                <w:bCs/>
                <w:color w:val="000000"/>
                <w:kern w:val="0"/>
                <w:szCs w:val="21"/>
              </w:rPr>
            </w:pPr>
          </w:p>
        </w:tc>
        <w:tc>
          <w:tcPr>
            <w:tcW w:w="893"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b/>
                <w:bCs/>
                <w:color w:val="000000"/>
                <w:kern w:val="0"/>
                <w:szCs w:val="21"/>
              </w:rPr>
            </w:pPr>
          </w:p>
        </w:tc>
        <w:tc>
          <w:tcPr>
            <w:tcW w:w="912"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b/>
                <w:bCs/>
                <w:color w:val="000000"/>
                <w:kern w:val="0"/>
                <w:szCs w:val="21"/>
              </w:rPr>
            </w:pPr>
          </w:p>
        </w:tc>
        <w:tc>
          <w:tcPr>
            <w:tcW w:w="1228"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b/>
                <w:bCs/>
                <w:color w:val="000000"/>
                <w:kern w:val="0"/>
                <w:szCs w:val="21"/>
              </w:rPr>
            </w:pPr>
          </w:p>
        </w:tc>
        <w:tc>
          <w:tcPr>
            <w:tcW w:w="382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b/>
                <w:bCs/>
                <w:color w:val="000000"/>
                <w:kern w:val="0"/>
                <w:szCs w:val="21"/>
              </w:rPr>
            </w:pP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w:t>
            </w:r>
          </w:p>
        </w:tc>
        <w:tc>
          <w:tcPr>
            <w:tcW w:w="89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中药全流程追溯与智能监管平台</w:t>
            </w: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中药材全链条追溯数据管理</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种植企业追溯</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种植企业追溯列表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支持展示入驻种植企业和上传种植基地、药材品种、药材批次数量，可点击查看企业详情</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种植企业详情</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支持展示该企业所维护信息、所上传的基地信息、还有所上传的追溯药材，可查看基地详情和药材追溯信息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追溯药材</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支持展示该企业所上传的追溯药材，可跳转种植追溯详情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种植基地</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支持展示该基地所维护信息、所上传的环境信息、还有可查看该基地的互联网设备</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种植企业数据</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种植追溯数据列表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支持展示各个企业种植的药材所上报的最新环节，并可点击查看详情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种植追溯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支持展示企业从中药材种植追溯管理系统所上传的从种植到包装全流程的药材信息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质检报告</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支持展示在完成种植全流程后企业所上报该药材的质检报告</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仓储记录</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支持展示药材是存储和出库信息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销售运输</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支持展示药材销售记录和可能发生的退货记录</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供应链追溯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支持查看药材往后的供应链路，可点击查看链路上各个几个上传药材的追溯信息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信息审核</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支持展示上传数据系统审核后有问题的数据</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种植追溯码查询</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输入正确的药材追溯码可查询追溯信息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中药饮片生产全链条追溯数据管理</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生产企业追溯</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生产企业追溯列表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支持统计展示各个生产企业所上传的追溯信息，并可点击查看企业详情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企业信息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支持展示对应生产企业在平台中维护企业信息，可查看营业执照和企业荣誉</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生产追溯数据</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生产追溯数据列表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支持展示各个企业生产的饮片所上报的最新环节，并可点击查看详情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饮片生产</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支持展示企业从饮片生产追溯管理系统所上传的从领料到包装全流程的饮片信息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原料信息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支持展示生产饮片所需的各个药材原料的采购、请领、放行、仓储信息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饮片仓储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支持展示饮片批号所生成不同追溯码的饮片所出入库信息与养护记录</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销售去向</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支持展示饮片批号所生成的销售记录</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成品放行</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支持展示饮片批号所生成质检报告和放行记录</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供应链追溯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支持查看饮片往前后的供应链路，可点击查看链路上各个几个上传饮片的追溯信息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信息审核</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支持展示上传数据系统审核后有问题的数据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中药饮片流通全链条数据管理</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流通企业追溯</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流通企业追溯列表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支持统计展示各个流通企业所上传的追溯信息，并可点击查看企业详情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企业信息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支持展示对应流通企业在平台中维护企业信息，可查看营业执照和企业荣誉</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追溯数据</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支持展示企业上传的追溯饮片信息，可点击查看详情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流通追溯数据</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流通企业追溯列表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支持展示各个企业流通的饮片所上报的最新环节，并可点击查看详情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饮片采购</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支持以追溯码为主体查看的本次饮片采购信息，验收记录</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饮片仓储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支持展示采购饮片追溯码所采购饮片出入库信息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销售去向</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支持展示采购饮片批号所生成不同追溯码的饮片所销售记录</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供应链追溯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支持查看采购饮片往前后的供应链路，可点击查看链路上各个几个上传饮片的追溯信息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信息审核</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支持展示上传数据系统审核后有问题的数据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中药饮片医疗机构全链条数据管理</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医疗机构追溯</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流通企业追溯列表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支持统计展示各个医疗机构所上传的追溯信息，并可点击查看医疗机构详情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企业信息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支持展示对应医疗机构在平台中维护医疗机构信息，可查看营业执照和企业荣誉</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追溯数据</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支持展示企业上传的追溯饮片信息，可点击查看详情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医疗追溯数据</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医疗机构追溯列表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支持展示各个医疗机构采购的饮片所上报的最新环节，并可点击查看详情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饮片采购</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支持以追溯码为主体查看的本次饮片采购信息，验收记录</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饮片仓储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支持展示采购饮片追溯码所采购的饮片出入库信息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使用去向</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支持展示采购饮片追溯码所在医疗机构内部使用部门去向</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供应链追溯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支持查看采购饮片往前的供应链路，可点击查看链路上各个几个上传饮片的追溯信息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40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信息审核</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支持展示上传数据系统审核后有问题的数据</w:t>
            </w:r>
          </w:p>
        </w:tc>
      </w:tr>
      <w:tr>
        <w:tblPrEx>
          <w:tblCellMar>
            <w:top w:w="0" w:type="dxa"/>
            <w:left w:w="108" w:type="dxa"/>
            <w:bottom w:w="0" w:type="dxa"/>
            <w:right w:w="108" w:type="dxa"/>
          </w:tblCellMar>
        </w:tblPrEx>
        <w:trPr>
          <w:trHeight w:val="10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41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追溯饮片评级审核</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追溯饮片评级审核</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审核列表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支持展示待审核和已审核的饮片批次，饮片数据进入系统之前就会对各个维度给予判断，可点击需审核的批次进行审核，审核完成后显示审核人、时间、审核等级</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42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审核评级</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审核人员可对系统判断结果进行修改，填写原因，也可看完数据后无问题生成该饮片批次的评级</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43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审核详情</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展示饮片评级，维度经过接口判断是否得分，不得分的原因，维度是否有被审核人修改，修改了展示修改原因</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44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中药企业全链条追溯查询模块</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种植企业查询</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首页</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展示种植企业上报总览趋势，种植药材面积排名，最新上报数据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45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企业信息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支持展示该企业所维护信息、所上传的基地信息、还有所上传的追溯药材，可查看基地详情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46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基地详情</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支持展示该基地所维护信息，所上传的追溯药材，可跳转种植追溯详情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47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种植追溯数据列表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支持展示本企业种植的药材所上报的最新环节，并可点击查看详情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48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种植追溯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支持展示企业从中药材种植追溯管理系统所上传的从种植到包装全流程的药材信息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49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质检报告</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支持展示在完成种植全流程后企业所上报该药材的质检报告</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50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仓储记录</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支持展示药材是存储和出库信息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51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销售运输</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支持展示药材销售记录和可能发生的退货记录</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52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供应链追溯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支持查看药材往后的供应链路，可查看链路上各个几个上传药材的基础追溯信息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53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信息审核</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支持展示上传数据系统审核后有问题的数据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54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生产企业查询</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首页</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展示生产企业上报总览趋势，产量饮片排名，最新上报数据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55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企业信息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支持展示生产企业在平台中维护企业信息，可查看营业执照和企业荣誉</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56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生产追溯数据列表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支持展示本企业生产的饮片所上报的最新环节，并可点击查看详情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57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饮片生产</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支持展示企业从饮片生产追溯管理系统所上传的从领料到包装全流程的饮片信息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58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原料信息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支持展示生产饮片所需的各个药材原料的采购、请领、放行、仓储信息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59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饮片仓储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支持展示饮片批号所生成不同追溯码的饮片所出入库信息与养护记录</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60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销售去向</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支持展示饮片批号所生成销售记录</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61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成品放行</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支持展示饮片批号所生成质检报告和放行记录</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62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供应链追溯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支持查看饮片往前后的供应链路，可点击查看链路中各个链条环节基础信息，其中可点击查看种植企业公共追溯信息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63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信息审核</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支持展示上传数据系统审核后有问题的数据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64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评级饮片</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展示该生产企业上传正在审核或者已审核的饮片，可查看评级详情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65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上传评级</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支持填写饮片评级相关的数据进行提交，填写部分数据时，会根据规则进行判断</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66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审核评级</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支持审核人员可对系统判断结果进行修改，填写原因，生成该饮片批次的评级</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67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评级修改</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支持企业人员提交评级后，在未审核之前都可以进行修改，每次修改后系统都会重新生成分数</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68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评级详情</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支持展示饮片评级，维度经过接口判断是否得分，不得分的原因，维度是否有被审核人修改，修改了展示修改原因</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69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流通企业查询</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首页</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展示流通企业上报总览趋势，采购饮片排名，最新上报数据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70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企业信息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支持展示流通企业在平台中维护企业信息，可查看营业执照和企业荣誉</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71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流通追溯数据列表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支持展示本企业流通的饮片所上报的最新环节，并可点击查看详情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72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饮片采购</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支持以追溯码为主体查看的本次饮片采购信息，验收记录</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73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饮片仓储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支持展示采购饮片追溯码所采购饮片出入库信息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74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销售去向</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支持展示采购饮片批号所生成不同追溯码的饮片所销售记录</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75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供应链追溯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支持查看采购饮片往前后的供应链路，可点击查看链路中各个链条环节信息，其中可点击查看种植\生产企业公共追溯信息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76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信息审核</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支持展示上传数据系统审核后有问题的数据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77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评级饮片</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展示该流通企业上传的采购饮片所关联可查看的饮片评级，可查看已审核的评级详情</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78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评级详情</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支持展示饮片的饮片评级、评级图谱</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79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中药医疗机构全链条追溯查询模块</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医疗机构追溯查询模块</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首页</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展示医疗机构上报总览趋势，采购饮片排名，最新上报数据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80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医疗机构信息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支持展示医疗机构在平台中维护医院信息，可查看营业执照和医院荣誉</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81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医疗机构追溯列表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支持展示本医疗机构采购的饮片所上报的最新环节，并可点击查看详情</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82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饮片采购</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支持以追溯码为主体查看的本次饮片采购信息，验收记录</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83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饮片仓储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支持展示采购饮片追溯码所采购的饮片出入库信息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84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使用去向</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支持展示采购饮片追溯码所在医疗机构内部使用部门去向</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85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供应链追溯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支持查看采购饮片往前的供应链路，可点击查看链路上各个几个上传饮片的追溯信息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86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评级列表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支持展示该医疗机构所采购饮片中有关联的审核之后饮片评级，可已审核的评级进行质控复核</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87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评级详情</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支持展示饮片评级，维度经过接口判断得分结果和原因，医院可以对评级进行复核操作</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88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中药全链条追溯码扫码查询</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处方追溯码扫码查询</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处方追溯码扫码</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支持扫描中药处方追溯码，查看中药处方基本信息及中药饮片明细</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89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饮片流通追溯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支持查看可溯源饮片流通环节追溯信息，如流通企业、生产企业、生产日期</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90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饮片生产追溯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支持查看可溯源饮片生产环节追溯信息：生产企业信息、生产日期、质检报告、原料采购中药材的追溯信息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91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药材种植追溯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支持查看可溯源饮片的中药材种植环节追溯信息：种植企业信息、种植日期、种源信息、田间管理、初加工等信息。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92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中药全链条平台后台管理模块</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平台后台管理模块</w:t>
            </w:r>
          </w:p>
        </w:tc>
        <w:tc>
          <w:tcPr>
            <w:tcW w:w="1228"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企业管理</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企业管理列表展示入驻的企业和医疗机构，可跳转企业详情或新增企业</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93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支持新增企业，填写企业的资料</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94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展示企业的详细信息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95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药材管理</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支持维护追溯平台上报药材的基本信息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96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饮片管理</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支持维护追溯平台上报饮片的基本信息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97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基原管理</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维护追溯平台上报药材基原的基本信息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98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审计日志</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展示所有账户操作人在各个操作系统内进行任何调用后台数据的操作记录</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99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行政区划</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支持展示行政区数据对其管理维护</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100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操作员管理</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支持管理维护监管系统的操作人员</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101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角色管理</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支持维护后台角色的权限</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102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代煎质控监管数据查询与展示功能</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首页</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上传量实时动态</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实时统计当日接入的处方各个状态的数量</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103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近7日处方量趋势</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展示7天内上传煎药处方总量趋势图</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104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患者最新评价</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展示最新4条患者评价信息，方便快速查看最新评价信息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105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药企处方完成情况</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展示该账户可看医疗机构分给对应的代煎企业的处方状态</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106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处方查询</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处方查单列表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处方查询界面汇集了医疗机构委托代煎服务的多家煎药中心的中药处方代煎业务数据，支持医疗机构统一监管</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107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处方详情</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可查看处方单的详细信息，把煎药信息、就诊信息、患者评价</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108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饮片明细</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查看对应处方单内的所有饮片，对应的特殊煎药方式</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109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流程追溯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在系统实时查看处方代煎流程和展示物流跟踪记录、关键物流节点信息显示</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110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饮片追溯</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查看该处方内可追溯的饮片批号，并查看该批号的检验报告单，一个饮片会有多条批号，每条批号为一条记录</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111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人员资质</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人员资质查询</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汇总服务于当前医疗机构的所有煎药中心人员资质信息，医疗机构可按煎药中心和人员查询人员资质</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112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资质有效期</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对快过期或已过期的所含资质的员工进行提醒</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113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代煎流程监控与预警功能</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监控与预警</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煎煮流程事件</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可设置浸泡超时、煎煮超时、浓缩超时的设定时间，其中设置的时间在对应开始流程超过设定时间还未进入下一流程的算超时</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114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快递物流事件</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设置签收超时时间，从揽件开始判断，超过设置时间未签收的算签收超时，不考虑地区</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115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资质过期事件</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设置距离过期提醒时间，已证书的有效期判断，达到设置时间会进行提醒，对应环节应该是指人员资质提醒，大屏还按检查过期提醒</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116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缺失浓缩事件</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设置需要浓缩年龄，小于等于设置时间，流程中缺失浓缩流程进行预警</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117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代煎质控监管统计分析功能</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时效质控</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时效列表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对代煎企业所属处方数据上传至平台进行质控，显示出各个数据集所需要质控的数据和问题数据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118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中医门诊处方代煎</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当企业处方上传至平台后，时间超过处方接收日期时间十分钟以上，那么判定为问题数据</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119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中医门诊处方代煎节点</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处方信息上传平台后，会根据各个节点上传的操作日期时间进行判断，上传平台的时间超过十分钟以上，判定为问题数据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120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代煎中药配送</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当企业把配送订单信息上传平台，超过订单创建日期时间30分钟，那么判定为问题数据</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121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代煎中药配送节点</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上传配送订单对应的主状态“已揽件、派件中、已签收”，当上传平台的时间超过对应判断4个状态的节点更新日期时间30分钟，那么判定为问题数据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122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导出</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支持选择某条数据集，导出该条数据集内所有详细的有问题数据数据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123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流程质控</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流程列表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对代煎企业所属流程和配送时间上传至平台进行质控，显示出各个数据集所需要质控的数据和问题数据</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124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煎配流程节点</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判断从浸泡开始到打包的缺失流程，浸泡之前的流程不进行判断，当该处方本该有对应流程时，却跳过流程算问题数据</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125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配送流程节点</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判断的配送单时间段内的处方单到执行日期内，所对应的几个主流程节点是否有上传，若有节点未上传则有为问题数据</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126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导出</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选择某条数据集，导出该条数据集内所有详细的有问题数据数据</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127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患者评价</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查询评价列表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查询患者在患者服务端应用里的评价信息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128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患者评分统计</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统计各个评分分数的评价数量，使用饼状图展示每种状态的占比</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129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投诉类型统计</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统计各类投诉问题统计和比对，使用柱状图统计</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130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问题处理</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对含有存在问题和意见反馈的评价进行处理</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131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代煎质控监管基础管理</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用户管理功能</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用户查询</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查询系统里所维护的平台账户用户</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132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新增账号</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创建医疗机构和监管角色的各个账户</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133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重置密码</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对用户账号进行密码重置</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134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删除账户</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可对用户账户进行删除操作</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135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代煎列表</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查询代煎企业</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查询系统里所维护的代煎企业数据</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136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新增代煎企业</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创建代煎企业和相关信息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137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删除企业</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可对代煎企业数据进行删除操作</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138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医院列表</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查询医疗机构</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查询系统里所维护的医疗机构及所含院区数据</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139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新增医疗机构</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创建医疗机构及所含院区数据</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140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删除医院</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可对医疗机构及所含院区数据进行删除操作</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141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饮片管理</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查询饮片</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查询系统里所维护的饮片数据</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142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新增饮片</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创建饮片数据</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143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删除饮片</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可对饮片数据进行删除操作</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144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代煎日志</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代煎日志列表</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展示煎药中心对接平台各个接口的调用数据进行分析统计，并查看调用企业信息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145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查看详情</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点击弹窗查看该日志的详情，展示请求参数和返回参数</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146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权限管理</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新增角色</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输入角色名称和角色类型新增角色</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147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功能模块</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选择该角色可展示的功能模块，并可进行修改</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148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删除角色</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删除所创建的对应角色</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149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审计日志</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审计日志</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显示所有账户操作人在平台系统内进行任何调用后台数据的操作记录</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150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中药代煎追溯监管驾驶舱</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全院智治数据中心</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今日处方状态统计</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支持统计当日接入平台处方总数，按煎药流程进度统计进度占比</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151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机构地图展示</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支持统计接入平台的处方数量，在各个区县市上显示各自处方数量；显示从平台创立以来累计处方数量和累计帖数</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152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代煎流程实时统计</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统计当日上传的代煎企业数量、代煎代配各自处方数、代煎企业上传饮片记录数，统计总接入平台数量，展示当日累计人员资质数量</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153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快递配送实时统计</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统计当日有哪些快递公司进行派送处方任务，并显示各自数量，以环状图片显示</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154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医疗机构数据统计</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统计当日上传的医疗机构数量、门诊代煎和代配各自数量、服务患者数量、患者评价数、病名病种数，统计医院总接入平台数量</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155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饮片批次溯源统计</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统计近3天饮片使用品种、饮片用药量、可追溯批次、调配批次记录、质检报告数</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156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事件预警实时数据</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展示昨日中发生的煎煮环节超时、煎煮流程错误、快递物流过慢、患者投诉问题、资质证书过期各自事件数量，并以环状图展示</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157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近30日处方量趋势</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以趋势图的形式展示近30日处方的数量</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158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代煎企业监管中心</w:t>
            </w:r>
          </w:p>
        </w:tc>
        <w:tc>
          <w:tcPr>
            <w:tcW w:w="1228" w:type="dxa"/>
            <w:tcBorders>
              <w:top w:val="nil"/>
              <w:left w:val="nil"/>
              <w:bottom w:val="single" w:color="000000" w:sz="8" w:space="0"/>
              <w:right w:val="single" w:color="000000" w:sz="8" w:space="0"/>
            </w:tcBorders>
            <w:noWrap/>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煎药中处方</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统计当日代煎企业处方已确认之后、打包之前所有状态的处方数量</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159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已完成处方</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统计当日代煎企业处方已打包的处方数量</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160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医疗机构数</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统计当日煎药企业服务多少家医疗机构</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161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煎药中心排名</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以服务处方数量多少从高到低进行排名，显示全部企业</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162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今日处方总量</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统计当日代煎企业处理的处方数量</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163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煎药企业数量</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统计当日上传数据的煎药企业数量</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164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机构地图展示</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地图上展示各个煎药企业在地图上的位置</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165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企业卡片</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显示企业名称，展示当日所服务处方数量，已完成处方和待完成处方</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166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单个代煎企业监管中心</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煎药企业数据统计</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统计累计接入平台的代煎企业，当日服务的医疗机构、上传代煎企业、其中自动调剂企业和自动煎煮企业各自有几家</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167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noWrap/>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处方数据统计</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统计今日流程记录中有先煎后下的记录、浓缩记录；其中自动化/人工煎药配送的处方数量和占比</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168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人员资质证书展示</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展示企业的资质数量与照片，并根据后台配置分类，展示各类资质数量</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169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处方各个环节展示</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展示当日代煎企业上传处方的代煎流程状态</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170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实时操作动态</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实时动态展示煎药企业最新操作过处方，并展示对于环节</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171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实时操作记录</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展示最新操作流程总览，并在下方展示对应复核、浓缩、打包照片</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172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事件预警监管中心</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代煎流程事件</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展示代煎流程中节点缺失，节点互换，节点停留时间超时的处方，并说明原因</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173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处方核验事件</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展示放心云处方核验有问题的处方，现有医院或企业有一方未上传处方、一方中部分数据缺失或者不匹配</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174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noWrap/>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快递物流事件</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展示从已揽件时间开始超时的处方</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175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患者投诉事件</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展示患者在对处方进行投诉事件</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176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资质过期事件</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展示煎药企业资质过期的信息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177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事件分类数据统计</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展示特殊煎药事件、患者投诉事件、快递物流事件、资质过期事件、代煎流程事件、流程质控事件在这个平台累计出现的次数</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178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预警实时动态</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展示实时展示最新20条事件信息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179</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今日代煎企业事件排名</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展示各个预警事件中各个企业出现的事件次数，从高到低排名</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180</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近7日事件预警趋势</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展示7个时间节点上传的事件数量</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181</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中药全链条追溯监管驾驶舱</w:t>
            </w: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中药全链条追溯数据中心</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平台总数据</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支持展示累计接入的各个企业数量和可追溯的药材饮片批次</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182</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高评级饮片展示</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支持轮播形式展示最新5条高评级饮片信息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183</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评级占比展示</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支持以环比图形式展示近一年中各个评级的数量和占比</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184</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地图统计</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统计平台三大总数，展示各市上报企业数量越多越深，进而对各市进行展示，气泡弹窗移入对应地区显示</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185</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种植基地展示</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展示上传的示范基地信息</w:t>
            </w:r>
          </w:p>
        </w:tc>
      </w:tr>
      <w:tr>
        <w:tblPrEx>
          <w:tblCellMar>
            <w:top w:w="0" w:type="dxa"/>
            <w:left w:w="108" w:type="dxa"/>
            <w:bottom w:w="0" w:type="dxa"/>
            <w:right w:w="108" w:type="dxa"/>
          </w:tblCellMar>
        </w:tblPrEx>
        <w:trPr>
          <w:trHeight w:val="55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186</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医疗机构赋码品种使用趋势</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展示近7个月医疗机构采购可追溯品种趋势</w:t>
            </w:r>
          </w:p>
        </w:tc>
      </w:tr>
      <w:tr>
        <w:tblPrEx>
          <w:tblCellMar>
            <w:top w:w="0" w:type="dxa"/>
            <w:left w:w="108" w:type="dxa"/>
            <w:bottom w:w="0" w:type="dxa"/>
            <w:right w:w="108" w:type="dxa"/>
          </w:tblCellMar>
        </w:tblPrEx>
        <w:trPr>
          <w:trHeight w:val="82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187</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restart"/>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中药追溯一张图</w:t>
            </w: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追溯链路筛选</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支持通过筛选条件在右侧地图上显示相关追溯链路，可使用多个筛选条件查追溯链路，默认显示全部追溯链路</w:t>
            </w:r>
          </w:p>
        </w:tc>
      </w:tr>
      <w:tr>
        <w:tblPrEx>
          <w:tblCellMar>
            <w:top w:w="0" w:type="dxa"/>
            <w:left w:w="108" w:type="dxa"/>
            <w:bottom w:w="0" w:type="dxa"/>
            <w:right w:w="108" w:type="dxa"/>
          </w:tblCellMar>
        </w:tblPrEx>
        <w:trPr>
          <w:trHeight w:val="290" w:hRule="atLeast"/>
          <w:jc w:val="center"/>
        </w:trPr>
        <w:tc>
          <w:tcPr>
            <w:tcW w:w="531" w:type="dxa"/>
            <w:tcBorders>
              <w:top w:val="nil"/>
              <w:left w:val="single" w:color="000000" w:sz="8" w:space="0"/>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188</w:t>
            </w:r>
          </w:p>
        </w:tc>
        <w:tc>
          <w:tcPr>
            <w:tcW w:w="89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893"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912" w:type="dxa"/>
            <w:vMerge w:val="continue"/>
            <w:tcBorders>
              <w:top w:val="nil"/>
              <w:left w:val="single" w:color="000000" w:sz="8" w:space="0"/>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p>
        </w:tc>
        <w:tc>
          <w:tcPr>
            <w:tcW w:w="1228" w:type="dxa"/>
            <w:tcBorders>
              <w:top w:val="nil"/>
              <w:left w:val="nil"/>
              <w:bottom w:val="single" w:color="000000" w:sz="8" w:space="0"/>
              <w:right w:val="single" w:color="000000" w:sz="8"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地图追溯链展示</w:t>
            </w:r>
          </w:p>
        </w:tc>
        <w:tc>
          <w:tcPr>
            <w:tcW w:w="3821" w:type="dxa"/>
            <w:tcBorders>
              <w:top w:val="nil"/>
              <w:left w:val="nil"/>
              <w:bottom w:val="single" w:color="000000" w:sz="8" w:space="0"/>
              <w:right w:val="single" w:color="000000" w:sz="8"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展示追溯链路，显示4种机构的所在位置形成各自对应链路</w:t>
            </w:r>
          </w:p>
        </w:tc>
      </w:tr>
    </w:tbl>
    <w:p>
      <w:pPr>
        <w:pStyle w:val="4"/>
        <w:ind w:left="0" w:leftChars="0" w:firstLine="440" w:firstLineChars="200"/>
        <w:jc w:val="both"/>
        <w:rPr>
          <w:rFonts w:hint="eastAsia" w:ascii="仿宋_GB2312" w:hAnsi="仿宋_GB2312" w:cs="仿宋_GB2312"/>
          <w:kern w:val="2"/>
          <w:sz w:val="24"/>
          <w:szCs w:val="24"/>
        </w:rPr>
      </w:pPr>
      <w:r>
        <w:rPr>
          <w:rFonts w:hint="eastAsia"/>
        </w:rPr>
        <w:t xml:space="preserve"> </w:t>
      </w:r>
    </w:p>
    <w:p>
      <w:pPr>
        <w:numPr>
          <w:ilvl w:val="0"/>
          <w:numId w:val="1"/>
        </w:numPr>
        <w:spacing w:before="156" w:beforeLines="50" w:line="360" w:lineRule="auto"/>
        <w:ind w:left="0" w:leftChars="0" w:firstLine="482" w:firstLineChars="200"/>
        <w:jc w:val="both"/>
        <w:outlineLvl w:val="3"/>
        <w:rPr>
          <w:rFonts w:hint="eastAsia" w:ascii="仿宋_GB2312" w:hAnsi="仿宋_GB2312" w:eastAsia="仿宋_GB2312" w:cs="仿宋_GB2312"/>
          <w:b/>
          <w:bCs/>
          <w:sz w:val="24"/>
        </w:rPr>
      </w:pPr>
      <w:r>
        <w:rPr>
          <w:rFonts w:hint="eastAsia" w:ascii="仿宋_GB2312" w:hAnsi="仿宋_GB2312" w:eastAsia="仿宋_GB2312" w:cs="仿宋_GB2312"/>
          <w:b/>
          <w:bCs/>
          <w:sz w:val="24"/>
        </w:rPr>
        <w:t>区域中药药事管理服务共享中心平台功能需求表</w:t>
      </w:r>
    </w:p>
    <w:tbl>
      <w:tblPr>
        <w:tblStyle w:val="5"/>
        <w:tblW w:w="4866" w:type="pct"/>
        <w:jc w:val="center"/>
        <w:tblLayout w:type="fixed"/>
        <w:tblCellMar>
          <w:top w:w="0" w:type="dxa"/>
          <w:left w:w="108" w:type="dxa"/>
          <w:bottom w:w="0" w:type="dxa"/>
          <w:right w:w="108" w:type="dxa"/>
        </w:tblCellMar>
      </w:tblPr>
      <w:tblGrid>
        <w:gridCol w:w="587"/>
        <w:gridCol w:w="868"/>
        <w:gridCol w:w="887"/>
        <w:gridCol w:w="862"/>
        <w:gridCol w:w="1263"/>
        <w:gridCol w:w="3827"/>
      </w:tblGrid>
      <w:tr>
        <w:tblPrEx>
          <w:tblCellMar>
            <w:top w:w="0" w:type="dxa"/>
            <w:left w:w="108" w:type="dxa"/>
            <w:bottom w:w="0" w:type="dxa"/>
            <w:right w:w="108" w:type="dxa"/>
          </w:tblCellMar>
        </w:tblPrEx>
        <w:trPr>
          <w:trHeight w:val="540" w:hRule="atLeast"/>
          <w:jc w:val="center"/>
        </w:trPr>
        <w:tc>
          <w:tcPr>
            <w:tcW w:w="5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仿宋_GB2312"/>
                <w:b/>
                <w:bCs/>
                <w:color w:val="000000"/>
                <w:kern w:val="0"/>
                <w:szCs w:val="21"/>
                <w:lang w:bidi="ar"/>
              </w:rPr>
            </w:pPr>
            <w:r>
              <w:rPr>
                <w:rFonts w:hint="eastAsia" w:ascii="仿宋" w:hAnsi="仿宋" w:eastAsia="仿宋" w:cs="宋体"/>
                <w:b/>
                <w:bCs/>
                <w:kern w:val="0"/>
                <w:szCs w:val="21"/>
              </w:rPr>
              <w:t>序号</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仿宋_GB2312"/>
                <w:b/>
                <w:bCs/>
                <w:color w:val="000000"/>
                <w:kern w:val="0"/>
                <w:szCs w:val="21"/>
                <w:lang w:bidi="ar"/>
              </w:rPr>
            </w:pPr>
            <w:r>
              <w:rPr>
                <w:rFonts w:hint="eastAsia" w:ascii="仿宋" w:hAnsi="仿宋" w:eastAsia="仿宋" w:cs="宋体"/>
                <w:b/>
                <w:bCs/>
                <w:kern w:val="0"/>
                <w:szCs w:val="21"/>
              </w:rPr>
              <w:t>系统</w:t>
            </w:r>
          </w:p>
        </w:tc>
        <w:tc>
          <w:tcPr>
            <w:tcW w:w="88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仿宋_GB2312"/>
                <w:b/>
                <w:bCs/>
                <w:color w:val="000000"/>
                <w:kern w:val="0"/>
                <w:szCs w:val="21"/>
                <w:lang w:bidi="ar"/>
              </w:rPr>
            </w:pPr>
            <w:r>
              <w:rPr>
                <w:rFonts w:hint="eastAsia" w:ascii="仿宋" w:hAnsi="仿宋" w:eastAsia="仿宋" w:cs="宋体"/>
                <w:b/>
                <w:bCs/>
                <w:kern w:val="0"/>
                <w:szCs w:val="21"/>
              </w:rPr>
              <w:t>模块</w:t>
            </w:r>
          </w:p>
        </w:tc>
        <w:tc>
          <w:tcPr>
            <w:tcW w:w="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仿宋_GB2312"/>
                <w:b/>
                <w:bCs/>
                <w:color w:val="000000"/>
                <w:kern w:val="0"/>
                <w:szCs w:val="21"/>
                <w:lang w:bidi="ar"/>
              </w:rPr>
            </w:pPr>
            <w:r>
              <w:rPr>
                <w:rFonts w:hint="eastAsia" w:ascii="仿宋" w:hAnsi="仿宋" w:eastAsia="仿宋" w:cs="宋体"/>
                <w:b/>
                <w:bCs/>
                <w:kern w:val="0"/>
                <w:szCs w:val="21"/>
              </w:rPr>
              <w:t>一级功能</w:t>
            </w:r>
          </w:p>
        </w:tc>
        <w:tc>
          <w:tcPr>
            <w:tcW w:w="1263"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仿宋_GB2312"/>
                <w:b/>
                <w:bCs/>
                <w:color w:val="000000"/>
                <w:kern w:val="0"/>
                <w:szCs w:val="21"/>
                <w:lang w:bidi="ar"/>
              </w:rPr>
            </w:pPr>
            <w:r>
              <w:rPr>
                <w:rFonts w:hint="eastAsia" w:ascii="仿宋" w:hAnsi="仿宋" w:eastAsia="仿宋" w:cs="宋体"/>
                <w:b/>
                <w:bCs/>
                <w:kern w:val="0"/>
                <w:szCs w:val="21"/>
              </w:rPr>
              <w:t>二级功能</w:t>
            </w:r>
          </w:p>
        </w:tc>
        <w:tc>
          <w:tcPr>
            <w:tcW w:w="3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_GB2312" w:hAnsi="宋体" w:eastAsia="仿宋_GB2312" w:cs="仿宋_GB2312"/>
                <w:b/>
                <w:bCs/>
                <w:color w:val="000000"/>
                <w:kern w:val="0"/>
                <w:szCs w:val="21"/>
                <w:lang w:bidi="ar"/>
              </w:rPr>
            </w:pPr>
            <w:r>
              <w:rPr>
                <w:rFonts w:hint="eastAsia" w:ascii="仿宋" w:hAnsi="仿宋" w:eastAsia="仿宋" w:cs="宋体"/>
                <w:b/>
                <w:bCs/>
                <w:kern w:val="0"/>
                <w:szCs w:val="21"/>
              </w:rPr>
              <w:t>功能描述</w:t>
            </w:r>
          </w:p>
        </w:tc>
      </w:tr>
      <w:tr>
        <w:tblPrEx>
          <w:tblCellMar>
            <w:top w:w="0" w:type="dxa"/>
            <w:left w:w="108" w:type="dxa"/>
            <w:bottom w:w="0" w:type="dxa"/>
            <w:right w:w="108" w:type="dxa"/>
          </w:tblCellMar>
        </w:tblPrEx>
        <w:trPr>
          <w:trHeight w:val="330" w:hRule="atLeast"/>
          <w:jc w:val="center"/>
        </w:trPr>
        <w:tc>
          <w:tcPr>
            <w:tcW w:w="587" w:type="dxa"/>
            <w:tcBorders>
              <w:top w:val="nil"/>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1</w:t>
            </w:r>
          </w:p>
        </w:tc>
        <w:tc>
          <w:tcPr>
            <w:tcW w:w="868"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区域中药药事管理服务共享中心平台</w:t>
            </w:r>
          </w:p>
        </w:tc>
        <w:tc>
          <w:tcPr>
            <w:tcW w:w="887"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区域共享审方中心平台</w:t>
            </w:r>
          </w:p>
        </w:tc>
        <w:tc>
          <w:tcPr>
            <w:tcW w:w="862" w:type="dxa"/>
            <w:vMerge w:val="restart"/>
            <w:tcBorders>
              <w:top w:val="nil"/>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医生辅助审方模块</w:t>
            </w:r>
          </w:p>
        </w:tc>
        <w:tc>
          <w:tcPr>
            <w:tcW w:w="1263" w:type="dxa"/>
            <w:tcBorders>
              <w:top w:val="nil"/>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双签名确认</w:t>
            </w:r>
          </w:p>
        </w:tc>
        <w:tc>
          <w:tcPr>
            <w:tcW w:w="3827" w:type="dxa"/>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可对需要双签名的药品附上双签名</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2</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确认提交</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点击后提交给系统</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3</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返回修改</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返回到His系统</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4</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审方结果</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等待系统审方结果，若不通过显示相应内容</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5</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前置智能审方</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审方记录列表</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查看医生开具处方后调研机审规则后所有的审方记录，包括前置审方拦截原因、审方是否通过、不通过原因等</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6</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审方记录详情</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可查看审方记录的详情，可查看处方信息、药品明细、前置审方信息、医生通过原因</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7</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药师干预审方</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药师审方列表</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可查看需要药师审方干预的记录，其中当一个记录被一个药师审方时，不允许其他介入</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8</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药师审方详情</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根据审方记录的详情，药师可人工进行审核是否通过，并将审方结果反馈给His 系统</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9</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预审方提醒</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当有需要药师干预的审方记录出现，会在顶部统计，并提醒医师</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10</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处方列表</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处方列表</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查看所有患者缴费完后所上传的处方</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11</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关联接方</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可将未关联的药品与系统药品进行关联</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12</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处方清单导出</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导出所选中的处方清单</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13</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处方详情</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可查看处方基本信息、接方信息、诊断信息、药品明细</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14</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处方点评</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点评列表</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创建查看的点评任务，可领取点评任务进行点评</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15</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新增点评任务</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根据抽样条件，筛选抽样出所需要的处方，生成点评任务</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16</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点评任务</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查看点评任务的点评情况，并可对处方进行点评，并且可批量点评处方</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17</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点评详情</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查看处方的详细信息，根据信息来判断点评结果，选择点评问题和填写备注</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18</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审方警示等级</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警示等级列表</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显示维护所有的警示等级</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19</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警示提示</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机审存在问题，不影响医生开方，仅提示医生，医生可无视继续提交开方</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20</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双签名</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显示仅做需要双签确认的原因，并要提交必须得双签后提交</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21</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直接拦截</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显示不能允许开方的原因，必须返回修改</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22</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药师干预</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机审时发现医生开的处方有问题，药师可对处方进行干预审方</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23</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超时通过</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机审时发现医生开的处方有问题，药师可对处方进行干预审方，但药师超过所设置的超时时长，可自动通过</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24</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审方规则管理</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规则管理列表</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查看所有维护的审方规则</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25</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历史版本</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查看历史规则的内容</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26</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新增/编辑规则</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可新增规则，新增节点、警示、分支，可点击保存草稿或审核通过成为正式的规则，以供机审时提供规则支持</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27</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查看规则</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查看所有审核通过，正在运行中的规则</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28</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草稿规则</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可继续编辑规则，并且不会正式运作</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29</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规则列表</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查看所有小规则</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30</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用药交待知识库</w:t>
            </w: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用药交待知识库</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系统数据库中可维护用药交待知识库，以供为患者推荐个性化的用药方案</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31</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药品关联</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医院关联列表</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展示各个医院所维护的关联药品</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32</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编辑关联</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可通过药品名称和编码关联系统中药品</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33</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中药管理</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中药列表</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展示系统内所有中药饮片</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34</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中药维护</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可新增、启用、停用中药，维护名称、单位、剂量每天上限和下限、毒性等信息</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35</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数据统计</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药品统计</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统计流转的药品使用量和金额</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36</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药品汇总统计</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按医疗机构汇总药品使用量，为医疗 机构对账提供数据依据</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37</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医院处方量统计</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按医院统计处方量，包括：处方总量、 代煎处方总量、自煎处方总量、总帖数等</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38</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医生处方量统计</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按各医院的医生统计处方量，包括： 处方总量、代煎处方总量、自煎处方 总量、总帖数等</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39</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基础管理</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权限设置</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维护角色，根据角色配置系统功能权限</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40</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面单设计</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维护各个面单模块</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41</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系统配置</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维护系统内各个配置</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42</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restart"/>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人员管理</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管理人员基础信息，设置系统操作员与角色</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43</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支持新增、停用、启用人员账户</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44</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患者中药药事服务应用</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用药咨询</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咨询回复</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对用药咨询服务上的患者用药咨询问题进行回复，并可查看已回复的咨询</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45</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知识回答</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支持药师可通过此模块，可参考常见知识问答的内容，对患者的咨询给予答复，同时也可查询所有咨询历史记录</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46</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知识库</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支持建立知识库，便于药师日常学习，以及辅助药师答复患者的咨询不断学习，提供药事服务专业技能</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47</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微信公众H5-用药咨询</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绑定就诊人</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新增患者进行就诊人绑定</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48</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咨询记录列表</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患者查看自己的历史咨询记录，显示历史咨询处方的咨询时间、咨询内容、是否回复以及所开处方的相关信息</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49</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选择处方</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就诊人查看自己的处方，并选择想要咨询的处方</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50</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提交咨询</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支持患者通过微信向药师发起图文咨询操作说明</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51</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咨询详情</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患者查看之前咨询记录的详情，查看回复信息</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52</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代煎进度查单</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代煎流程</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支持查看处方的流程状态和流程节点，可查看部分节点的拍摄照片</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53</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物流跟踪</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支持展示处方的快递或送医院流程</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54</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用药交代</w:t>
            </w:r>
          </w:p>
        </w:tc>
        <w:tc>
          <w:tcPr>
            <w:tcW w:w="1263" w:type="dxa"/>
            <w:tcBorders>
              <w:top w:val="nil"/>
              <w:left w:val="nil"/>
              <w:bottom w:val="nil"/>
              <w:right w:val="nil"/>
            </w:tcBorders>
            <w:noWrap/>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用药交代</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根据处方的饮片和用药交代知识库为患者推荐个性化的用药交待方案</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55</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患者评价</w:t>
            </w:r>
          </w:p>
        </w:tc>
        <w:tc>
          <w:tcPr>
            <w:tcW w:w="1263" w:type="dxa"/>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患者评价</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支持患者可对处方进行评价</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56</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中药药事服务统一AI赋能平台</w:t>
            </w: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AI 能力中台核心功能</w:t>
            </w:r>
          </w:p>
        </w:tc>
        <w:tc>
          <w:tcPr>
            <w:tcW w:w="1263" w:type="dxa"/>
            <w:vMerge w:val="restart"/>
            <w:tcBorders>
              <w:top w:val="single" w:color="000000" w:sz="4" w:space="0"/>
              <w:left w:val="nil"/>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多类型模型接入</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 AI 模型的接入、配置；</w:t>
            </w:r>
          </w:p>
        </w:tc>
      </w:tr>
      <w:tr>
        <w:tblPrEx>
          <w:tblCellMar>
            <w:top w:w="0" w:type="dxa"/>
            <w:left w:w="108" w:type="dxa"/>
            <w:bottom w:w="0" w:type="dxa"/>
            <w:right w:w="108" w:type="dxa"/>
          </w:tblCellMar>
        </w:tblPrEx>
        <w:trPr>
          <w:trHeight w:val="99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57</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支持通用大语言模型、中药审方模型、视觉识别模型、代煎优化算法模型</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58</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多源数据接入</w:t>
            </w: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对接医院业务系统、企业代煎管理系统、知识库、视觉样本库等多类型数据</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59</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特征工程处理</w:t>
            </w: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支持文本、数值、图像数据的特征抽取与指标计算，生成统计类、结构化、向量化特征集</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60</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私有化部署支持</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保障患者隐私与医疗数据安全，满足院内数据管控要求</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61</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智能审方系统功能</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处方数据处理</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支持中药饮片 / 中成药处方的药名、剂量、炮制方式、用法用量等信息提取</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62</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支持提供标准接口，由市级基层医疗机构 HIS、基层HIS、互联网医院平台等系统接入处方</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63</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按门诊 / 住院、普通 / 特殊人群、常规 / 疑难处方分类标识</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64</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智能审方核心能力</w:t>
            </w: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自动校验 “十八反”“十九畏”、剂量越界、妊娠禁忌、证候不符等风险</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65</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高风险问题强警示与拦截建议，中低风险问题标记与依据说明</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66</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核查先煎、后下等特殊用法规范性，以及频次、疗程合理性</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67</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提供审方结果输出，基于审方结果提供剂量调整、用法优化等专业建议</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68</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代煎优化系统功能</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代煎数据采集</w:t>
            </w: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对接代煎企业代煎信息系统，采集代煎数据，包括代煎饮片、特殊煎煮方法、煎煮时间要求、用法、包装药液量等</w:t>
            </w:r>
          </w:p>
        </w:tc>
      </w:tr>
      <w:tr>
        <w:tblPrEx>
          <w:tblCellMar>
            <w:top w:w="0" w:type="dxa"/>
            <w:left w:w="108" w:type="dxa"/>
            <w:bottom w:w="0" w:type="dxa"/>
            <w:right w:w="108" w:type="dxa"/>
          </w:tblCellMar>
        </w:tblPrEx>
        <w:trPr>
          <w:trHeight w:val="99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69</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采集代煎中心产线参数（调剂/煎煮产线的产能、煎煮产线对应煎煮锅数量、调剂产线调剂产能等），用于分析优化生产排程</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70</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对接煎药中心信息系统，采集设备运行状态，实时更新产线产能</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71</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工艺参数智能优化</w:t>
            </w: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基于药材不同吸水、处方药味重量等计算</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72</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结合药材特性与功效目的生成科学煎煮时长，如普通类、解表类、滋补类。</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73</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自动识别先煎、后下、烊化等特殊要求，匹配对应工艺参数</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74</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生产排程优化</w:t>
            </w: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基于产线能力、当前负载、设备状态，实现任务智能分配</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75</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结合订单紧急程度、工艺特殊要求、患者需求等因素排序</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76</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生成最优生产执行顺序，减少设备切换成本与等待时间</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77</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智能视觉复核系统功能</w:t>
            </w: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视觉数据采集与处理</w:t>
            </w: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支持人工调剂台、自动调剂柜等场景的复核图像采集</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78</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提供亮度调整、角度校正、背景分离等图像优化处理</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79</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维护覆盖多产地、多炮制方式、多规格的中药饮片标准样本库</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80</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通过随机裁剪、旋转、光照模拟等方式扩充视觉训练样本</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81</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饮片视觉识别</w:t>
            </w: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基于轻量级 YOLO 模型，实现饮片快速定位与实时框选</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82</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基于度量学习与特征对比，精准区分外观相似药材</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83</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复核校验核心能力</w:t>
            </w: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自动比对识别结果与处方药味清单，判定药味匹配一致性</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84</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复核结果管理与集成</w:t>
            </w: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输出品类标签、置信度、复核结论、风险提示等信息</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85</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自动保存复核过程图像与识别标注结果，支持历史记录查询与追溯</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86</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统计分析与报表功能</w:t>
            </w: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药事服务统计</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统计处方数量、类型分布、特殊人群处方占比等数据</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87</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统计审方通过率、风险拦截率、风险类型分布等数据</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88</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统计代煎订单量、完成率、平均耗时等数据</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89</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统计复核准确率、错配拦截率、异常识别率等数据</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90</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质量监控报表</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生成用药风险分布、高频风险药味等质量监控报表</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91</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统计代煎工艺合规率、参数偏离次数等数据报表</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92</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记录调剂错配、数量偏差等差错情况，生成差错分析报表</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93</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报表导出</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支持报表以 Excel格式导出，满足业务归档需求</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94</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数据监管驾驶舱</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处方量统计</w:t>
            </w: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处方量统计</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展示当日接收的处方各个流转状态内的数量，并以趋势展示近7天处方</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95</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今日流转处方</w:t>
            </w: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今日流转处方</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展示当日转化为已发送的处方数量</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96</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审方问题统计</w:t>
            </w: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审方问题统计</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统计当日的审方问题</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97</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今日趋势</w:t>
            </w: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今日趋势</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展示当日每小时各类处方的变化趋势</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98</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医院审方统计</w:t>
            </w: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医院审方统计</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统计各个医院当日接入的处方在审核列表的审核结果</w:t>
            </w:r>
          </w:p>
        </w:tc>
      </w:tr>
      <w:tr>
        <w:tblPrEx>
          <w:tblCellMar>
            <w:top w:w="0" w:type="dxa"/>
            <w:left w:w="108" w:type="dxa"/>
            <w:bottom w:w="0" w:type="dxa"/>
            <w:right w:w="108" w:type="dxa"/>
          </w:tblCellMar>
        </w:tblPrEx>
        <w:trPr>
          <w:trHeight w:val="33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99</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平台实时动态</w:t>
            </w: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平台实时动态</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展示接入平台处方实时数据动态</w:t>
            </w:r>
          </w:p>
        </w:tc>
      </w:tr>
      <w:tr>
        <w:tblPrEx>
          <w:tblCellMar>
            <w:top w:w="0" w:type="dxa"/>
            <w:left w:w="108" w:type="dxa"/>
            <w:bottom w:w="0" w:type="dxa"/>
            <w:right w:w="108" w:type="dxa"/>
          </w:tblCellMar>
        </w:tblPrEx>
        <w:trPr>
          <w:trHeight w:val="660" w:hRule="atLeast"/>
          <w:jc w:val="center"/>
        </w:trPr>
        <w:tc>
          <w:tcPr>
            <w:tcW w:w="587" w:type="dxa"/>
            <w:tcBorders>
              <w:top w:val="single" w:color="000000" w:sz="4" w:space="0"/>
              <w:left w:val="single" w:color="000000" w:sz="4" w:space="0"/>
              <w:bottom w:val="single" w:color="000000" w:sz="4" w:space="0"/>
              <w:right w:val="nil"/>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100</w:t>
            </w:r>
          </w:p>
        </w:tc>
        <w:tc>
          <w:tcPr>
            <w:tcW w:w="86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当月拦截排名</w:t>
            </w:r>
          </w:p>
        </w:tc>
        <w:tc>
          <w:tcPr>
            <w:tcW w:w="126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当月拦截排名</w:t>
            </w:r>
          </w:p>
        </w:tc>
        <w:tc>
          <w:tcPr>
            <w:tcW w:w="382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宋体" w:eastAsia="仿宋_GB2312" w:cs="仿宋_GB2312"/>
                <w:color w:val="000000"/>
                <w:kern w:val="0"/>
                <w:szCs w:val="21"/>
                <w:lang w:bidi="ar"/>
              </w:rPr>
            </w:pPr>
            <w:r>
              <w:rPr>
                <w:rFonts w:hint="eastAsia" w:ascii="仿宋" w:hAnsi="仿宋" w:eastAsia="仿宋" w:cs="宋体"/>
                <w:color w:val="000000"/>
                <w:kern w:val="0"/>
                <w:szCs w:val="21"/>
              </w:rPr>
              <w:t>展示当月前置审方，处方的拦截原因次数排名，从高到低排序</w:t>
            </w:r>
          </w:p>
        </w:tc>
      </w:tr>
    </w:tbl>
    <w:p>
      <w:pPr>
        <w:spacing w:line="360" w:lineRule="auto"/>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color w:val="auto"/>
          <w:kern w:val="2"/>
          <w:sz w:val="24"/>
          <w:szCs w:val="22"/>
          <w:lang w:val="en-US" w:eastAsia="zh-CN" w:bidi="ar-SA"/>
          <w14:ligatures w14:val="standardContextual"/>
        </w:rPr>
        <w:t xml:space="preserve"> </w:t>
      </w:r>
    </w:p>
    <w:p>
      <w:pPr>
        <w:numPr>
          <w:ilvl w:val="0"/>
          <w:numId w:val="1"/>
        </w:numPr>
        <w:spacing w:before="156" w:beforeLines="50" w:line="360" w:lineRule="auto"/>
        <w:ind w:left="0" w:leftChars="0" w:firstLine="482" w:firstLineChars="200"/>
        <w:jc w:val="both"/>
        <w:outlineLvl w:val="3"/>
        <w:rPr>
          <w:rFonts w:hint="eastAsia" w:ascii="仿宋_GB2312" w:hAnsi="仿宋_GB2312" w:eastAsia="仿宋_GB2312" w:cs="仿宋_GB2312"/>
          <w:b/>
          <w:bCs/>
          <w:sz w:val="24"/>
        </w:rPr>
      </w:pPr>
      <w:r>
        <w:rPr>
          <w:rFonts w:hint="eastAsia" w:ascii="仿宋_GB2312" w:hAnsi="仿宋_GB2312" w:eastAsia="仿宋_GB2312" w:cs="仿宋_GB2312"/>
          <w:b/>
          <w:bCs/>
          <w:sz w:val="24"/>
        </w:rPr>
        <w:t>中西医联合用药决策模型定制开发功能需求表</w:t>
      </w:r>
    </w:p>
    <w:tbl>
      <w:tblPr>
        <w:tblStyle w:val="5"/>
        <w:tblW w:w="4848" w:type="pct"/>
        <w:jc w:val="center"/>
        <w:tblLayout w:type="autofit"/>
        <w:tblCellMar>
          <w:top w:w="0" w:type="dxa"/>
          <w:left w:w="108" w:type="dxa"/>
          <w:bottom w:w="0" w:type="dxa"/>
          <w:right w:w="108" w:type="dxa"/>
        </w:tblCellMar>
      </w:tblPr>
      <w:tblGrid>
        <w:gridCol w:w="427"/>
        <w:gridCol w:w="427"/>
        <w:gridCol w:w="657"/>
        <w:gridCol w:w="1187"/>
        <w:gridCol w:w="1056"/>
        <w:gridCol w:w="4509"/>
      </w:tblGrid>
      <w:tr>
        <w:tblPrEx>
          <w:tblCellMar>
            <w:top w:w="0" w:type="dxa"/>
            <w:left w:w="108" w:type="dxa"/>
            <w:bottom w:w="0" w:type="dxa"/>
            <w:right w:w="108" w:type="dxa"/>
          </w:tblCellMar>
        </w:tblPrEx>
        <w:trPr>
          <w:trHeight w:val="56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Cs w:val="21"/>
              </w:rPr>
            </w:pPr>
            <w:r>
              <w:rPr>
                <w:rFonts w:hint="eastAsia" w:ascii="仿宋" w:hAnsi="仿宋" w:eastAsia="仿宋" w:cs="宋体"/>
                <w:b/>
                <w:bCs/>
                <w:kern w:val="0"/>
                <w:szCs w:val="21"/>
              </w:rPr>
              <w:t>序号</w:t>
            </w:r>
          </w:p>
        </w:tc>
        <w:tc>
          <w:tcPr>
            <w:tcW w:w="427"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Cs w:val="21"/>
              </w:rPr>
            </w:pPr>
            <w:r>
              <w:rPr>
                <w:rFonts w:hint="eastAsia" w:ascii="仿宋" w:hAnsi="仿宋" w:eastAsia="仿宋" w:cs="宋体"/>
                <w:b/>
                <w:bCs/>
                <w:kern w:val="0"/>
                <w:szCs w:val="21"/>
              </w:rPr>
              <w:t>系统</w:t>
            </w:r>
          </w:p>
        </w:tc>
        <w:tc>
          <w:tcPr>
            <w:tcW w:w="657"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Cs w:val="21"/>
              </w:rPr>
            </w:pPr>
            <w:r>
              <w:rPr>
                <w:rFonts w:hint="eastAsia" w:ascii="仿宋" w:hAnsi="仿宋" w:eastAsia="仿宋" w:cs="宋体"/>
                <w:b/>
                <w:bCs/>
                <w:kern w:val="0"/>
                <w:szCs w:val="21"/>
              </w:rPr>
              <w:t>模块</w:t>
            </w:r>
          </w:p>
        </w:tc>
        <w:tc>
          <w:tcPr>
            <w:tcW w:w="1187"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Cs w:val="21"/>
              </w:rPr>
            </w:pPr>
            <w:r>
              <w:rPr>
                <w:rFonts w:hint="eastAsia" w:ascii="仿宋" w:hAnsi="仿宋" w:eastAsia="仿宋" w:cs="宋体"/>
                <w:b/>
                <w:bCs/>
                <w:kern w:val="0"/>
                <w:szCs w:val="21"/>
              </w:rPr>
              <w:t>一级功能</w:t>
            </w:r>
          </w:p>
        </w:tc>
        <w:tc>
          <w:tcPr>
            <w:tcW w:w="1056"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Cs w:val="21"/>
              </w:rPr>
            </w:pPr>
            <w:r>
              <w:rPr>
                <w:rFonts w:hint="eastAsia" w:ascii="仿宋" w:hAnsi="仿宋" w:eastAsia="仿宋" w:cs="宋体"/>
                <w:b/>
                <w:bCs/>
                <w:kern w:val="0"/>
                <w:szCs w:val="21"/>
              </w:rPr>
              <w:t>二级功能</w:t>
            </w:r>
          </w:p>
        </w:tc>
        <w:tc>
          <w:tcPr>
            <w:tcW w:w="4509"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b/>
                <w:bCs/>
                <w:color w:val="000000"/>
                <w:kern w:val="0"/>
                <w:szCs w:val="21"/>
              </w:rPr>
            </w:pPr>
            <w:r>
              <w:rPr>
                <w:rFonts w:hint="eastAsia" w:ascii="仿宋" w:hAnsi="仿宋" w:eastAsia="仿宋" w:cs="宋体"/>
                <w:b/>
                <w:bCs/>
                <w:kern w:val="0"/>
                <w:szCs w:val="21"/>
              </w:rPr>
              <w:t>功能描述</w:t>
            </w:r>
          </w:p>
        </w:tc>
      </w:tr>
      <w:tr>
        <w:tblPrEx>
          <w:tblCellMar>
            <w:top w:w="0" w:type="dxa"/>
            <w:left w:w="108" w:type="dxa"/>
            <w:bottom w:w="0" w:type="dxa"/>
            <w:right w:w="108" w:type="dxa"/>
          </w:tblCellMar>
        </w:tblPrEx>
        <w:trPr>
          <w:trHeight w:val="6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w:t>
            </w:r>
          </w:p>
        </w:tc>
        <w:tc>
          <w:tcPr>
            <w:tcW w:w="427"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中西医联合用药决策模型</w:t>
            </w:r>
          </w:p>
        </w:tc>
        <w:tc>
          <w:tcPr>
            <w:tcW w:w="6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多源异构数据的采集与管理</w:t>
            </w:r>
          </w:p>
        </w:tc>
        <w:tc>
          <w:tcPr>
            <w:tcW w:w="11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数据采集</w:t>
            </w: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经典医籍文献采集</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支持经典医籍的构化信息录入、图片存储</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学术论文采集</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支持学术论文的构化信息录入、图片存储</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药品说明书采集</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支持中药、中成药、西药说明书的构化信息录入、图片存储</w:t>
            </w:r>
          </w:p>
        </w:tc>
      </w:tr>
      <w:tr>
        <w:tblPrEx>
          <w:tblCellMar>
            <w:top w:w="0" w:type="dxa"/>
            <w:left w:w="108" w:type="dxa"/>
            <w:bottom w:w="0" w:type="dxa"/>
            <w:right w:w="108" w:type="dxa"/>
          </w:tblCellMar>
        </w:tblPrEx>
        <w:trPr>
          <w:trHeight w:val="6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4</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合规临床数据采集</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通过 API 对接 HIS系统，获取中药 / 西药相关电子病历、处方、不良反应等合规临床数据并存储</w:t>
            </w:r>
          </w:p>
        </w:tc>
      </w:tr>
      <w:tr>
        <w:tblPrEx>
          <w:tblCellMar>
            <w:top w:w="0" w:type="dxa"/>
            <w:left w:w="108" w:type="dxa"/>
            <w:bottom w:w="0" w:type="dxa"/>
            <w:right w:w="108" w:type="dxa"/>
          </w:tblCellMar>
        </w:tblPrEx>
        <w:trPr>
          <w:trHeight w:val="6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5</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数据管理</w:t>
            </w: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数据分类存储</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按 “经典医籍/学术论文/药品说明书/临床数据” 分类存储数据，支持按数据源类型、时间维度检索</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6</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数据版本管理</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支持数据修改的版本记录，历史版本查询，保留版本更新轨迹</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7</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数据检索</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支持按关键词（如药物名、证候名）、数据类型快速检索目标数据</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8</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数据治理</w:t>
            </w: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数据清洗</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自动去除重复数据、修正格式错误、补全缺失字段，提升数据完整性</w:t>
            </w:r>
          </w:p>
        </w:tc>
      </w:tr>
      <w:tr>
        <w:tblPrEx>
          <w:tblCellMar>
            <w:top w:w="0" w:type="dxa"/>
            <w:left w:w="108" w:type="dxa"/>
            <w:bottom w:w="0" w:type="dxa"/>
            <w:right w:w="108" w:type="dxa"/>
          </w:tblCellMar>
        </w:tblPrEx>
        <w:trPr>
          <w:trHeight w:val="6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9</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术语映射</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基于基础词典，实现 “一药多名” 映射（如 “黄耆”→“黄芪”），为术语统一做前置处理</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10</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合规脱敏</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对临床数据进行脱敏，符合个人信息保护的合规要求</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11</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数据质量校验</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自动校验数据格式、内容有效性，标记低质量数据并推送人工复核</w:t>
            </w:r>
          </w:p>
        </w:tc>
      </w:tr>
      <w:tr>
        <w:tblPrEx>
          <w:tblCellMar>
            <w:top w:w="0" w:type="dxa"/>
            <w:left w:w="108" w:type="dxa"/>
            <w:bottom w:w="0" w:type="dxa"/>
            <w:right w:w="108" w:type="dxa"/>
          </w:tblCellMar>
        </w:tblPrEx>
        <w:trPr>
          <w:trHeight w:val="6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12</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知识图谱构建</w:t>
            </w:r>
          </w:p>
        </w:tc>
        <w:tc>
          <w:tcPr>
            <w:tcW w:w="11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知识图谱核心构建</w:t>
            </w: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节点与关系定义</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配置 “药物 - 成分 - 靶点 - 疾病 - 证候” 等核心节点，定义 “药物 - 相互作用”“方剂 - 适用证候” 等关联关系</w:t>
            </w:r>
          </w:p>
        </w:tc>
      </w:tr>
      <w:tr>
        <w:tblPrEx>
          <w:tblCellMar>
            <w:top w:w="0" w:type="dxa"/>
            <w:left w:w="108" w:type="dxa"/>
            <w:bottom w:w="0" w:type="dxa"/>
            <w:right w:w="108" w:type="dxa"/>
          </w:tblCellMar>
        </w:tblPrEx>
        <w:trPr>
          <w:trHeight w:val="6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13</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实体关系关联构建</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基于标注后数据，自动关联实体与关系，形成 “药物→成分→靶点→西药代谢酶” 等推理链路</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14</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知识图谱可视化与更新</w:t>
            </w: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图谱可视化展示</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提供节点、关联路径查询、推理链路可视化呈现</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15</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图谱动态更新</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新数据标注完成后自动触发图谱节点/关系更新</w:t>
            </w:r>
          </w:p>
        </w:tc>
      </w:tr>
      <w:tr>
        <w:tblPrEx>
          <w:tblCellMar>
            <w:top w:w="0" w:type="dxa"/>
            <w:left w:w="108" w:type="dxa"/>
            <w:bottom w:w="0" w:type="dxa"/>
            <w:right w:w="108" w:type="dxa"/>
          </w:tblCellMar>
        </w:tblPrEx>
        <w:trPr>
          <w:trHeight w:val="6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16</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人机协同的智能标注平台</w:t>
            </w:r>
          </w:p>
        </w:tc>
        <w:tc>
          <w:tcPr>
            <w:tcW w:w="11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标注任务管理</w:t>
            </w: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任务创建与分配</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支持待标注数据配置标注类型（实体 / 关系标注），按标注员专业领域定向分配任务</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17</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任务进度监控</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实时展示任务完成率、标注员工作量，支持任务进度提醒与逾期预警</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18</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智能辅助标注</w:t>
            </w: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实体/关系预标注</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调用领域 NER 模型，自动识别并高亮核心实体，基于图谱规则预标注实体关系</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19</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标注建议推荐</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关联术语词典、知识库，推送标准表述为标注参考</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20</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标注质量管控</w:t>
            </w: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自动质检</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内置标注规则库，自动校验标注内容，标记疑似错误</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21</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人工审核</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支持审核员审核标注结果，提供 “通过/打回” 操作，注明审核意见</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22</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标注数据管理</w:t>
            </w: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标注结果存储</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分类存储实体/关系标注数据，关联原始数据</w:t>
            </w:r>
          </w:p>
        </w:tc>
      </w:tr>
      <w:tr>
        <w:tblPrEx>
          <w:tblCellMar>
            <w:top w:w="0" w:type="dxa"/>
            <w:left w:w="108" w:type="dxa"/>
            <w:bottom w:w="0" w:type="dxa"/>
            <w:right w:w="108" w:type="dxa"/>
          </w:tblCellMar>
        </w:tblPrEx>
        <w:trPr>
          <w:trHeight w:val="30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23</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标注数据查询</w:t>
            </w:r>
          </w:p>
        </w:tc>
        <w:tc>
          <w:tcPr>
            <w:tcW w:w="4509" w:type="dxa"/>
            <w:tcBorders>
              <w:top w:val="nil"/>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支持标注数据查询，根据条件快速检索</w:t>
            </w:r>
          </w:p>
        </w:tc>
      </w:tr>
      <w:tr>
        <w:tblPrEx>
          <w:tblCellMar>
            <w:top w:w="0" w:type="dxa"/>
            <w:left w:w="108" w:type="dxa"/>
            <w:bottom w:w="0" w:type="dxa"/>
            <w:right w:w="108" w:type="dxa"/>
          </w:tblCellMar>
        </w:tblPrEx>
        <w:trPr>
          <w:trHeight w:val="84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24</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中西药联用大模型的构建</w:t>
            </w:r>
          </w:p>
        </w:tc>
        <w:tc>
          <w:tcPr>
            <w:tcW w:w="1187"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模型架构设计</w:t>
            </w:r>
          </w:p>
        </w:tc>
        <w:tc>
          <w:tcPr>
            <w:tcW w:w="105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混合式专家模型架构</w:t>
            </w:r>
          </w:p>
        </w:tc>
        <w:tc>
          <w:tcPr>
            <w:tcW w:w="4509"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采用MoE的混合专家模型架构，将模型分为多个专家网络，并设计一个智能路由网络，根据输入处方的特征（如包含的药物类别等），动态选择激活最相关的几个专家网络进行计算，从而在保证精度的同时，大幅提升推理效率</w:t>
            </w:r>
          </w:p>
        </w:tc>
      </w:tr>
      <w:tr>
        <w:tblPrEx>
          <w:tblCellMar>
            <w:top w:w="0" w:type="dxa"/>
            <w:left w:w="108" w:type="dxa"/>
            <w:bottom w:w="0" w:type="dxa"/>
            <w:right w:w="108" w:type="dxa"/>
          </w:tblCellMar>
        </w:tblPrEx>
        <w:trPr>
          <w:trHeight w:val="84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25</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知识图谱增强的预训练范式</w:t>
            </w:r>
          </w:p>
        </w:tc>
        <w:tc>
          <w:tcPr>
            <w:tcW w:w="4509"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在模型预训练阶段，除常规的掩码语言模型（MLM）任务外，引入知识图谱嵌入任务。例如，随机遮盖知识图谱中的一条边，让模型预测缺失的关系，从而将结构化知识深度融入模型的表示空间</w:t>
            </w:r>
          </w:p>
        </w:tc>
      </w:tr>
      <w:tr>
        <w:tblPrEx>
          <w:tblCellMar>
            <w:top w:w="0" w:type="dxa"/>
            <w:left w:w="108" w:type="dxa"/>
            <w:bottom w:w="0" w:type="dxa"/>
            <w:right w:w="108" w:type="dxa"/>
          </w:tblCellMar>
        </w:tblPrEx>
        <w:trPr>
          <w:trHeight w:val="168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26</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多模态融合推理引擎</w:t>
            </w:r>
          </w:p>
        </w:tc>
        <w:tc>
          <w:tcPr>
            <w:tcW w:w="4509"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依托多模态数据融合技术整合文本、结构化数据及关联知识。设计一个统一的向量空间，将处方文本、患者检验值（结构化数据）和知识图谱子图（关联知识）都映射为高维向量，并采用跨模态注意力机制，让模型在决策时能够同时关注文本描述、数值异常和知识路径。例如，在审核一个含“华法林”和“丹参”的处方时，模型能同时关联文本知识（丹参增强抗凝）、知识图谱路径（丹参-&gt;抑制-&gt;CYP2C9-&gt;华法林代谢减慢），进行综合判断</w:t>
            </w:r>
          </w:p>
        </w:tc>
      </w:tr>
      <w:tr>
        <w:tblPrEx>
          <w:tblCellMar>
            <w:top w:w="0" w:type="dxa"/>
            <w:left w:w="108" w:type="dxa"/>
            <w:bottom w:w="0" w:type="dxa"/>
            <w:right w:w="108" w:type="dxa"/>
          </w:tblCellMar>
        </w:tblPrEx>
        <w:trPr>
          <w:trHeight w:val="56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27</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分阶段渐进式训练与优化策略</w:t>
            </w:r>
          </w:p>
        </w:tc>
        <w:tc>
          <w:tcPr>
            <w:tcW w:w="105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领域持续预训练</w:t>
            </w:r>
          </w:p>
        </w:tc>
        <w:tc>
          <w:tcPr>
            <w:tcW w:w="4509"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使用大量的通用医学文献、中医药典籍对大模型进行长时间周期的持续预训练，使其深度内化中西医医学语言范式和领域基础知识</w:t>
            </w:r>
          </w:p>
        </w:tc>
      </w:tr>
      <w:tr>
        <w:tblPrEx>
          <w:tblCellMar>
            <w:top w:w="0" w:type="dxa"/>
            <w:left w:w="108" w:type="dxa"/>
            <w:bottom w:w="0" w:type="dxa"/>
            <w:right w:w="108" w:type="dxa"/>
          </w:tblCellMar>
        </w:tblPrEx>
        <w:trPr>
          <w:trHeight w:val="56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28</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监督微调</w:t>
            </w:r>
          </w:p>
        </w:tc>
        <w:tc>
          <w:tcPr>
            <w:tcW w:w="4509"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使用前期构建的高质量、经过专家标注的中药—化药相互作用高质量数据集对模型进行微调</w:t>
            </w:r>
          </w:p>
        </w:tc>
      </w:tr>
      <w:tr>
        <w:tblPrEx>
          <w:tblCellMar>
            <w:top w:w="0" w:type="dxa"/>
            <w:left w:w="108" w:type="dxa"/>
            <w:bottom w:w="0" w:type="dxa"/>
            <w:right w:w="108" w:type="dxa"/>
          </w:tblCellMar>
        </w:tblPrEx>
        <w:trPr>
          <w:trHeight w:val="84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29</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基于人类反馈的强化学习（RLHF）</w:t>
            </w:r>
          </w:p>
        </w:tc>
        <w:tc>
          <w:tcPr>
            <w:tcW w:w="4509"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邀请各医疗机构的资深临床药师和医师对模型生成的多个审核意见进行排序和打分，并据此构建奖励模型。使用PPO等近端策略优化算法，根据奖励模型的分数来优化大模型，使其决策更符合临床最佳实践，更贴近专家的诊疗意见</w:t>
            </w:r>
          </w:p>
        </w:tc>
      </w:tr>
      <w:tr>
        <w:tblPrEx>
          <w:tblCellMar>
            <w:top w:w="0" w:type="dxa"/>
            <w:left w:w="108" w:type="dxa"/>
            <w:bottom w:w="0" w:type="dxa"/>
            <w:right w:w="108" w:type="dxa"/>
          </w:tblCellMar>
        </w:tblPrEx>
        <w:trPr>
          <w:trHeight w:val="56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30</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模型的验证与评估</w:t>
            </w:r>
          </w:p>
        </w:tc>
        <w:tc>
          <w:tcPr>
            <w:tcW w:w="105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离线量化评估</w:t>
            </w:r>
          </w:p>
        </w:tc>
        <w:tc>
          <w:tcPr>
            <w:tcW w:w="4509"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采用离线量化评估的方式，在一个由专家标注的、从未用于训练的“黄金标准”测试集上，使用精确率、召回率、F1分数、AUC等核心指标开展模型的校验和评估</w:t>
            </w:r>
          </w:p>
        </w:tc>
      </w:tr>
      <w:tr>
        <w:tblPrEx>
          <w:tblCellMar>
            <w:top w:w="0" w:type="dxa"/>
            <w:left w:w="108" w:type="dxa"/>
            <w:bottom w:w="0" w:type="dxa"/>
            <w:right w:w="108" w:type="dxa"/>
          </w:tblCellMar>
        </w:tblPrEx>
        <w:trPr>
          <w:trHeight w:val="84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31</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在线 A/B 测试</w:t>
            </w:r>
          </w:p>
        </w:tc>
        <w:tc>
          <w:tcPr>
            <w:tcW w:w="4509"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在试点合作医疗机构采用在线A/B测试与临床评估。通过将部分处方随机分配给大模型系统审核和传统人工审核，对比两组的审核效率、漏审率、误报率以及最终确定大模型的效果</w:t>
            </w:r>
          </w:p>
        </w:tc>
      </w:tr>
      <w:tr>
        <w:tblPrEx>
          <w:tblCellMar>
            <w:top w:w="0" w:type="dxa"/>
            <w:left w:w="108" w:type="dxa"/>
            <w:bottom w:w="0" w:type="dxa"/>
            <w:right w:w="108" w:type="dxa"/>
          </w:tblCellMar>
        </w:tblPrEx>
        <w:trPr>
          <w:trHeight w:val="56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32</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临床专家评估</w:t>
            </w:r>
          </w:p>
        </w:tc>
        <w:tc>
          <w:tcPr>
            <w:tcW w:w="4509"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定期组织临床专家评估会，对模型给出的审核意见、循证依据和推理过程进行评估，确保大模型的最终效果</w:t>
            </w:r>
          </w:p>
        </w:tc>
      </w:tr>
      <w:tr>
        <w:tblPrEx>
          <w:tblCellMar>
            <w:top w:w="0" w:type="dxa"/>
            <w:left w:w="108" w:type="dxa"/>
            <w:bottom w:w="0" w:type="dxa"/>
            <w:right w:w="108" w:type="dxa"/>
          </w:tblCellMar>
        </w:tblPrEx>
        <w:trPr>
          <w:trHeight w:val="54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33</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模型闭环迭代机制的构建</w:t>
            </w:r>
          </w:p>
        </w:tc>
        <w:tc>
          <w:tcPr>
            <w:tcW w:w="105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反馈数据采集</w:t>
            </w:r>
          </w:p>
        </w:tc>
        <w:tc>
          <w:tcPr>
            <w:tcW w:w="4509"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采集真实临床医师或药师对模型给出的结果有任何的修订，作为新的校验标注数据，与专家评估过程中产生的校验数据一起，形成新的训练样本</w:t>
            </w:r>
          </w:p>
        </w:tc>
      </w:tr>
      <w:tr>
        <w:tblPrEx>
          <w:tblCellMar>
            <w:top w:w="0" w:type="dxa"/>
            <w:left w:w="108" w:type="dxa"/>
            <w:bottom w:w="0" w:type="dxa"/>
            <w:right w:w="108" w:type="dxa"/>
          </w:tblCellMar>
        </w:tblPrEx>
        <w:trPr>
          <w:trHeight w:val="560" w:hRule="atLeast"/>
          <w:jc w:val="center"/>
        </w:trPr>
        <w:tc>
          <w:tcPr>
            <w:tcW w:w="42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34</w:t>
            </w:r>
          </w:p>
        </w:tc>
        <w:tc>
          <w:tcPr>
            <w:tcW w:w="4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65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18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p>
        </w:tc>
        <w:tc>
          <w:tcPr>
            <w:tcW w:w="1056" w:type="dxa"/>
            <w:tcBorders>
              <w:top w:val="nil"/>
              <w:left w:val="nil"/>
              <w:bottom w:val="single" w:color="auto" w:sz="4" w:space="0"/>
              <w:right w:val="single" w:color="auto" w:sz="4" w:space="0"/>
            </w:tcBorders>
            <w:vAlign w:val="center"/>
          </w:tcPr>
          <w:p>
            <w:pPr>
              <w:widowControl/>
              <w:jc w:val="center"/>
              <w:rPr>
                <w:rFonts w:hint="eastAsia" w:ascii="仿宋_GB2312" w:hAnsi="宋体" w:eastAsia="仿宋_GB2312" w:cs="宋体"/>
                <w:color w:val="000000"/>
                <w:kern w:val="0"/>
                <w:szCs w:val="21"/>
              </w:rPr>
            </w:pPr>
            <w:r>
              <w:rPr>
                <w:rFonts w:hint="eastAsia" w:ascii="仿宋" w:hAnsi="仿宋" w:eastAsia="仿宋" w:cs="宋体"/>
                <w:color w:val="000000"/>
                <w:kern w:val="0"/>
                <w:szCs w:val="21"/>
              </w:rPr>
              <w:t>迭代触发与训练</w:t>
            </w:r>
          </w:p>
        </w:tc>
        <w:tc>
          <w:tcPr>
            <w:tcW w:w="4509"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color w:val="000000"/>
                <w:kern w:val="0"/>
                <w:szCs w:val="21"/>
              </w:rPr>
            </w:pPr>
            <w:r>
              <w:rPr>
                <w:rFonts w:hint="eastAsia" w:ascii="仿宋" w:hAnsi="仿宋" w:eastAsia="仿宋" w:cs="宋体"/>
                <w:color w:val="000000"/>
                <w:kern w:val="0"/>
                <w:szCs w:val="21"/>
              </w:rPr>
              <w:t>基于反馈数据采集，定期对模型进行增量训练或微调，如此循环往复，使模型在实践过程中不断“学习进化”，从而不断提升模型对联用风险的精准识别与预警能力</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EB5363"/>
    <w:multiLevelType w:val="singleLevel"/>
    <w:tmpl w:val="33EB536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Mzg3YTFkZmQwNzQ2ZThiZGVmOGYxYzczMmViM2MifQ=="/>
  </w:docVars>
  <w:rsids>
    <w:rsidRoot w:val="5FDA1822"/>
    <w:rsid w:val="0F8B009E"/>
    <w:rsid w:val="5FDA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
    <w:name w:val="toc 2"/>
    <w:basedOn w:val="1"/>
    <w:next w:val="1"/>
    <w:unhideWhenUsed/>
    <w:qFormat/>
    <w:uiPriority w:val="39"/>
    <w:pPr>
      <w:widowControl/>
      <w:spacing w:line="360" w:lineRule="auto"/>
      <w:ind w:left="200" w:leftChars="200"/>
      <w:jc w:val="left"/>
    </w:pPr>
    <w:rPr>
      <w:rFonts w:ascii="等线" w:hAnsi="等线" w:eastAsia="仿宋_GB2312"/>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12299</Words>
  <Characters>12741</Characters>
  <Lines>0</Lines>
  <Paragraphs>0</Paragraphs>
  <TotalTime>2</TotalTime>
  <ScaleCrop>false</ScaleCrop>
  <LinksUpToDate>false</LinksUpToDate>
  <CharactersWithSpaces>12800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2026-01-06T08:21:00Z</dcterms:created>
  <dc:creator>Administrator</dc:creator>
  <cp:lastModifiedBy>Administrator</cp:lastModifiedBy>
  <dcterms:modified xsi:type="dcterms:W3CDTF">2026-01-06T08:24:41Z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4BA6EC71378C41299C02DA7C282B4282</vt:lpwstr>
  </property>
</Properties>
</file>