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kern w:val="0"/>
          <w:sz w:val="32"/>
          <w:szCs w:val="32"/>
          <w:lang w:val="en-US" w:eastAsia="zh-CN" w:bidi="ar-SA"/>
        </w:rPr>
      </w:pPr>
      <w:bookmarkStart w:id="0" w:name="_Toc463071336"/>
      <w:bookmarkStart w:id="1" w:name="_Toc469969645"/>
      <w:r>
        <w:rPr>
          <w:rFonts w:hint="eastAsia" w:ascii="宋体" w:hAnsi="宋体" w:eastAsia="宋体" w:cs="宋体"/>
          <w:b/>
          <w:bCs/>
          <w:kern w:val="0"/>
          <w:sz w:val="32"/>
          <w:szCs w:val="32"/>
          <w:lang w:val="en-US" w:eastAsia="zh-CN" w:bidi="ar-SA"/>
        </w:rPr>
        <w:t>广州医科大学附属中医医院</w:t>
      </w:r>
      <w:r>
        <w:rPr>
          <w:rFonts w:hint="eastAsia" w:ascii="宋体" w:hAnsi="宋体" w:cs="宋体"/>
          <w:b/>
          <w:bCs/>
          <w:kern w:val="0"/>
          <w:sz w:val="32"/>
          <w:szCs w:val="32"/>
          <w:lang w:val="en-US" w:eastAsia="zh-CN" w:bidi="ar-SA"/>
        </w:rPr>
        <w:t>2025年消防器材供应商遴选</w:t>
      </w:r>
      <w:r>
        <w:rPr>
          <w:rFonts w:hint="eastAsia" w:ascii="宋体" w:hAnsi="宋体" w:eastAsia="宋体" w:cs="宋体"/>
          <w:b/>
          <w:bCs/>
          <w:kern w:val="0"/>
          <w:sz w:val="32"/>
          <w:szCs w:val="32"/>
          <w:lang w:val="en-US" w:eastAsia="zh-CN" w:bidi="ar-SA"/>
        </w:rPr>
        <w:t>项目采购需求文件</w:t>
      </w:r>
    </w:p>
    <w:p>
      <w:pPr>
        <w:numPr>
          <w:ilvl w:val="0"/>
          <w:numId w:val="1"/>
        </w:numPr>
        <w:spacing w:after="156" w:afterLines="50" w:line="360" w:lineRule="auto"/>
        <w:rPr>
          <w:rFonts w:hint="eastAsia" w:ascii="宋体" w:hAnsi="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rPr>
        <w:t>项目</w:t>
      </w:r>
      <w:r>
        <w:rPr>
          <w:rFonts w:hint="eastAsia" w:ascii="宋体" w:hAnsi="宋体" w:cs="宋体"/>
          <w:b/>
          <w:bCs/>
          <w:color w:val="000000"/>
          <w:sz w:val="28"/>
          <w:szCs w:val="28"/>
          <w:shd w:val="clear" w:color="auto" w:fill="FFFFFF"/>
          <w:lang w:val="en-US" w:eastAsia="zh-CN"/>
        </w:rPr>
        <w:t>内容</w:t>
      </w:r>
    </w:p>
    <w:p>
      <w:pPr>
        <w:numPr>
          <w:ilvl w:val="0"/>
          <w:numId w:val="0"/>
        </w:numPr>
        <w:spacing w:after="156" w:afterLines="50"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sz w:val="28"/>
          <w:szCs w:val="28"/>
          <w:shd w:val="clear" w:color="auto" w:fill="FFFFFF"/>
        </w:rPr>
        <w:t>广州医科大学附属中医医院202</w:t>
      </w:r>
      <w:r>
        <w:rPr>
          <w:rFonts w:hint="eastAsia" w:ascii="宋体" w:hAnsi="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年</w:t>
      </w:r>
      <w:r>
        <w:rPr>
          <w:rFonts w:hint="eastAsia" w:ascii="宋体" w:hAnsi="宋体" w:cs="宋体"/>
          <w:color w:val="000000"/>
          <w:sz w:val="28"/>
          <w:szCs w:val="28"/>
          <w:shd w:val="clear" w:color="auto" w:fill="FFFFFF"/>
          <w:lang w:val="en-US" w:eastAsia="zh-CN"/>
        </w:rPr>
        <w:t>消防器</w:t>
      </w:r>
      <w:r>
        <w:rPr>
          <w:rFonts w:hint="eastAsia" w:ascii="宋体" w:hAnsi="宋体" w:eastAsia="宋体" w:cs="宋体"/>
          <w:color w:val="000000"/>
          <w:sz w:val="28"/>
          <w:szCs w:val="28"/>
          <w:shd w:val="clear" w:color="auto" w:fill="FFFFFF"/>
        </w:rPr>
        <w:t>材供应商遴选</w:t>
      </w:r>
      <w:r>
        <w:rPr>
          <w:rFonts w:hint="eastAsia" w:ascii="宋体" w:hAnsi="宋体" w:cs="宋体"/>
          <w:color w:val="000000"/>
          <w:sz w:val="28"/>
          <w:szCs w:val="28"/>
          <w:shd w:val="clear" w:color="auto" w:fill="FFFFFF"/>
          <w:lang w:val="en-US" w:eastAsia="zh-CN"/>
        </w:rPr>
        <w:t>项目</w:t>
      </w:r>
      <w:r>
        <w:rPr>
          <w:rFonts w:hint="eastAsia" w:ascii="宋体" w:hAnsi="宋体" w:eastAsia="宋体" w:cs="宋体"/>
          <w:color w:val="000000"/>
          <w:sz w:val="28"/>
          <w:szCs w:val="28"/>
          <w:shd w:val="clear" w:color="auto" w:fill="FFFFFF"/>
        </w:rPr>
        <w:t>。</w:t>
      </w:r>
    </w:p>
    <w:bookmarkEnd w:id="0"/>
    <w:bookmarkEnd w:id="1"/>
    <w:p>
      <w:pPr>
        <w:numPr>
          <w:ilvl w:val="0"/>
          <w:numId w:val="0"/>
        </w:numPr>
        <w:spacing w:line="360" w:lineRule="auto"/>
        <w:rPr>
          <w:rFonts w:hint="eastAsia" w:ascii="宋体" w:hAnsi="宋体" w:eastAsia="宋体" w:cs="宋体"/>
          <w:sz w:val="28"/>
          <w:szCs w:val="28"/>
          <w:shd w:val="clear" w:color="auto" w:fill="FFFFFF"/>
          <w:lang w:val="en-US" w:eastAsia="zh-CN"/>
        </w:rPr>
      </w:pPr>
      <w:r>
        <w:rPr>
          <w:rStyle w:val="13"/>
          <w:rFonts w:hint="eastAsia" w:ascii="宋体" w:hAnsi="宋体" w:cs="宋体"/>
          <w:b/>
          <w:bCs w:val="0"/>
          <w:color w:val="000000" w:themeColor="text1"/>
          <w:sz w:val="28"/>
          <w:szCs w:val="28"/>
          <w:lang w:val="en-US" w:eastAsia="zh-CN"/>
          <w14:textFill>
            <w14:solidFill>
              <w14:schemeClr w14:val="tx1"/>
            </w14:solidFill>
          </w14:textFill>
        </w:rPr>
        <w:t>二、消防器材配置需求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932"/>
        <w:gridCol w:w="2225"/>
        <w:gridCol w:w="113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采购货物</w:t>
            </w:r>
          </w:p>
        </w:tc>
        <w:tc>
          <w:tcPr>
            <w:tcW w:w="1932"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最高单价限价</w:t>
            </w:r>
          </w:p>
        </w:tc>
        <w:tc>
          <w:tcPr>
            <w:tcW w:w="2225"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详细内容</w:t>
            </w:r>
          </w:p>
        </w:tc>
        <w:tc>
          <w:tcPr>
            <w:tcW w:w="1131"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单位</w:t>
            </w:r>
          </w:p>
        </w:tc>
        <w:tc>
          <w:tcPr>
            <w:tcW w:w="1535" w:type="dxa"/>
          </w:tcPr>
          <w:p>
            <w:pPr>
              <w:widowControl w:val="0"/>
              <w:numPr>
                <w:ilvl w:val="0"/>
                <w:numId w:val="0"/>
              </w:numPr>
              <w:spacing w:line="360" w:lineRule="auto"/>
              <w:jc w:val="center"/>
              <w:rPr>
                <w:rFonts w:hint="default" w:ascii="宋体" w:hAnsi="宋体" w:cs="宋体"/>
                <w:b/>
                <w:bCs/>
                <w:sz w:val="28"/>
                <w:szCs w:val="28"/>
                <w:shd w:val="clear" w:color="auto" w:fill="FFFFFF"/>
                <w:vertAlign w:val="baseline"/>
                <w:lang w:val="en-US" w:eastAsia="zh-CN"/>
              </w:rPr>
            </w:pPr>
            <w:r>
              <w:rPr>
                <w:rFonts w:hint="eastAsia" w:ascii="宋体" w:hAnsi="宋体" w:cs="宋体"/>
                <w:b/>
                <w:bCs/>
                <w:sz w:val="28"/>
                <w:szCs w:val="28"/>
                <w:shd w:val="clear" w:color="auto" w:fill="FFFFFF"/>
                <w:vertAlign w:val="baseline"/>
                <w:lang w:val="en-US" w:eastAsia="zh-CN"/>
              </w:rPr>
              <w:t>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default" w:ascii="宋体" w:hAnsi="宋体" w:cs="宋体"/>
                <w:sz w:val="28"/>
                <w:szCs w:val="28"/>
                <w:shd w:val="clear" w:color="auto" w:fill="FFFFFF"/>
                <w:vertAlign w:val="baseline"/>
                <w:lang w:val="en-US" w:eastAsia="zh-CN"/>
              </w:rPr>
              <w:t>手提式干粉灭火器</w:t>
            </w:r>
            <w:r>
              <w:rPr>
                <w:rFonts w:hint="eastAsia" w:ascii="宋体" w:hAnsi="宋体" w:cs="宋体"/>
                <w:sz w:val="28"/>
                <w:szCs w:val="28"/>
                <w:shd w:val="clear" w:color="auto" w:fill="FFFFFF"/>
                <w:vertAlign w:val="baseline"/>
                <w:lang w:val="en-US" w:eastAsia="zh-CN"/>
              </w:rPr>
              <w:t>（4KG）</w:t>
            </w:r>
          </w:p>
        </w:tc>
        <w:tc>
          <w:tcPr>
            <w:tcW w:w="1932" w:type="dxa"/>
            <w:vMerge w:val="restart"/>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u w:val="single"/>
                <w:shd w:val="clear" w:color="auto" w:fill="FFFFFF"/>
                <w:vertAlign w:val="baseline"/>
                <w:lang w:val="en-US" w:eastAsia="zh-CN"/>
              </w:rPr>
              <w:t>71.00</w:t>
            </w:r>
            <w:r>
              <w:rPr>
                <w:rFonts w:hint="eastAsia" w:ascii="宋体" w:hAnsi="宋体" w:cs="宋体"/>
                <w:sz w:val="28"/>
                <w:szCs w:val="28"/>
                <w:shd w:val="clear" w:color="auto" w:fill="FFFFFF"/>
                <w:vertAlign w:val="baseline"/>
                <w:lang w:val="en-US" w:eastAsia="zh-CN"/>
              </w:rPr>
              <w:t>元</w:t>
            </w:r>
          </w:p>
        </w:tc>
        <w:tc>
          <w:tcPr>
            <w:tcW w:w="2225" w:type="dxa"/>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干粉灭火器</w:t>
            </w:r>
          </w:p>
        </w:tc>
        <w:tc>
          <w:tcPr>
            <w:tcW w:w="1131" w:type="dxa"/>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r>
              <w:rPr>
                <w:rFonts w:hint="eastAsia" w:ascii="宋体" w:hAnsi="宋体" w:cs="宋体"/>
                <w:sz w:val="28"/>
                <w:szCs w:val="28"/>
                <w:shd w:val="clear" w:color="auto" w:fill="FFFFFF"/>
                <w:vertAlign w:val="baseline"/>
                <w:lang w:val="en-US" w:eastAsia="zh-CN"/>
              </w:rPr>
              <w:t>个</w:t>
            </w:r>
          </w:p>
        </w:tc>
        <w:tc>
          <w:tcPr>
            <w:tcW w:w="1535" w:type="dxa"/>
          </w:tcPr>
          <w:p>
            <w:pPr>
              <w:widowControl w:val="0"/>
              <w:numPr>
                <w:ilvl w:val="0"/>
                <w:numId w:val="0"/>
              </w:numPr>
              <w:spacing w:line="360" w:lineRule="auto"/>
              <w:jc w:val="center"/>
              <w:rPr>
                <w:rFonts w:hint="default" w:ascii="宋体" w:hAnsi="宋体" w:cs="宋体"/>
                <w:sz w:val="28"/>
                <w:szCs w:val="28"/>
                <w:highlight w:val="yellow"/>
                <w:shd w:val="clear" w:color="auto" w:fill="FFFFFF"/>
                <w:vertAlign w:val="baseline"/>
                <w:lang w:val="en-US" w:eastAsia="zh-CN"/>
              </w:rPr>
            </w:pPr>
            <w:r>
              <w:rPr>
                <w:rFonts w:hint="eastAsia" w:ascii="宋体" w:hAnsi="宋体" w:cs="宋体"/>
                <w:sz w:val="28"/>
                <w:szCs w:val="28"/>
                <w:highlight w:val="none"/>
                <w:shd w:val="clear" w:color="auto" w:fill="FFFFFF"/>
                <w:vertAlign w:val="baseline"/>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widowControl w:val="0"/>
              <w:numPr>
                <w:ilvl w:val="0"/>
                <w:numId w:val="0"/>
              </w:numPr>
              <w:spacing w:line="360" w:lineRule="auto"/>
              <w:jc w:val="center"/>
              <w:rPr>
                <w:rFonts w:hint="eastAsia" w:ascii="宋体" w:hAnsi="宋体" w:cs="宋体"/>
                <w:sz w:val="28"/>
                <w:szCs w:val="28"/>
                <w:shd w:val="clear" w:color="auto" w:fill="FFFFFF"/>
                <w:vertAlign w:val="baseline"/>
                <w:lang w:val="en-US" w:eastAsia="zh-CN"/>
              </w:rPr>
            </w:pPr>
          </w:p>
        </w:tc>
        <w:tc>
          <w:tcPr>
            <w:tcW w:w="1932" w:type="dxa"/>
            <w:vMerge w:val="continue"/>
          </w:tcPr>
          <w:p>
            <w:pPr>
              <w:widowControl w:val="0"/>
              <w:numPr>
                <w:ilvl w:val="0"/>
                <w:numId w:val="0"/>
              </w:numPr>
              <w:spacing w:line="360" w:lineRule="auto"/>
              <w:jc w:val="center"/>
              <w:rPr>
                <w:rFonts w:hint="eastAsia" w:ascii="宋体" w:hAnsi="宋体" w:cs="宋体"/>
                <w:sz w:val="28"/>
                <w:szCs w:val="28"/>
                <w:shd w:val="clear" w:color="auto" w:fill="FFFFFF"/>
                <w:vertAlign w:val="baseline"/>
                <w:lang w:val="en-US" w:eastAsia="zh-CN"/>
              </w:rPr>
            </w:pPr>
          </w:p>
        </w:tc>
        <w:tc>
          <w:tcPr>
            <w:tcW w:w="2225" w:type="dxa"/>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p>
        </w:tc>
        <w:tc>
          <w:tcPr>
            <w:tcW w:w="1131" w:type="dxa"/>
          </w:tcPr>
          <w:p>
            <w:pPr>
              <w:widowControl w:val="0"/>
              <w:numPr>
                <w:ilvl w:val="0"/>
                <w:numId w:val="0"/>
              </w:numPr>
              <w:spacing w:line="360" w:lineRule="auto"/>
              <w:jc w:val="center"/>
              <w:rPr>
                <w:rFonts w:hint="default" w:ascii="宋体" w:hAnsi="宋体" w:cs="宋体"/>
                <w:sz w:val="28"/>
                <w:szCs w:val="28"/>
                <w:shd w:val="clear" w:color="auto" w:fill="FFFFFF"/>
                <w:vertAlign w:val="baseline"/>
                <w:lang w:val="en-US" w:eastAsia="zh-CN"/>
              </w:rPr>
            </w:pPr>
          </w:p>
        </w:tc>
        <w:tc>
          <w:tcPr>
            <w:tcW w:w="1535" w:type="dxa"/>
          </w:tcPr>
          <w:p>
            <w:pPr>
              <w:widowControl w:val="0"/>
              <w:numPr>
                <w:ilvl w:val="0"/>
                <w:numId w:val="0"/>
              </w:numPr>
              <w:spacing w:line="360" w:lineRule="auto"/>
              <w:jc w:val="center"/>
              <w:rPr>
                <w:rFonts w:hint="default" w:ascii="宋体" w:hAnsi="宋体" w:cs="宋体"/>
                <w:sz w:val="28"/>
                <w:szCs w:val="28"/>
                <w:highlight w:val="yellow"/>
                <w:shd w:val="clear" w:color="auto" w:fill="FFFFFF"/>
                <w:vertAlign w:val="baseline"/>
                <w:lang w:val="en-US" w:eastAsia="zh-CN"/>
              </w:rPr>
            </w:pPr>
          </w:p>
        </w:tc>
      </w:tr>
    </w:tbl>
    <w:p>
      <w:pPr>
        <w:numPr>
          <w:ilvl w:val="0"/>
          <w:numId w:val="0"/>
        </w:numPr>
        <w:spacing w:line="360" w:lineRule="auto"/>
        <w:ind w:firstLine="560" w:firstLineChars="200"/>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 xml:space="preserve">  </w:t>
      </w:r>
    </w:p>
    <w:p>
      <w:pPr>
        <w:pStyle w:val="14"/>
        <w:ind w:left="0" w:leftChars="0" w:firstLine="0" w:firstLineChars="0"/>
        <w:rPr>
          <w:rFonts w:hint="default"/>
          <w:lang w:val="en-US" w:eastAsia="zh-CN"/>
        </w:rPr>
      </w:pPr>
    </w:p>
    <w:p>
      <w:pPr>
        <w:numPr>
          <w:ilvl w:val="0"/>
          <w:numId w:val="1"/>
        </w:numPr>
        <w:spacing w:line="360" w:lineRule="auto"/>
        <w:ind w:left="0" w:leftChars="0" w:firstLine="0" w:firstLineChars="0"/>
        <w:rPr>
          <w:rStyle w:val="13"/>
          <w:rFonts w:hint="eastAsia" w:ascii="宋体" w:hAnsi="宋体" w:eastAsia="宋体" w:cs="宋体"/>
          <w:b/>
          <w:bCs w:val="0"/>
          <w:color w:val="000000" w:themeColor="text1"/>
          <w:sz w:val="28"/>
          <w:szCs w:val="28"/>
          <w:lang w:val="en-US" w:eastAsia="zh-CN"/>
          <w14:textFill>
            <w14:solidFill>
              <w14:schemeClr w14:val="tx1"/>
            </w14:solidFill>
          </w14:textFill>
        </w:rPr>
      </w:pPr>
      <w:r>
        <w:rPr>
          <w:rStyle w:val="13"/>
          <w:rFonts w:hint="eastAsia" w:ascii="宋体" w:hAnsi="宋体" w:eastAsia="宋体" w:cs="宋体"/>
          <w:b/>
          <w:bCs w:val="0"/>
          <w:color w:val="000000" w:themeColor="text1"/>
          <w:sz w:val="28"/>
          <w:szCs w:val="28"/>
          <w:lang w:val="en-US" w:eastAsia="zh-CN"/>
          <w14:textFill>
            <w14:solidFill>
              <w14:schemeClr w14:val="tx1"/>
            </w14:solidFill>
          </w14:textFill>
        </w:rPr>
        <w:t>技术</w:t>
      </w:r>
      <w:r>
        <w:rPr>
          <w:rStyle w:val="13"/>
          <w:rFonts w:hint="eastAsia" w:ascii="宋体" w:hAnsi="宋体" w:cs="宋体"/>
          <w:b/>
          <w:bCs w:val="0"/>
          <w:color w:val="000000" w:themeColor="text1"/>
          <w:sz w:val="28"/>
          <w:szCs w:val="28"/>
          <w:lang w:val="en-US" w:eastAsia="zh-CN"/>
          <w14:textFill>
            <w14:solidFill>
              <w14:schemeClr w14:val="tx1"/>
            </w14:solidFill>
          </w14:textFill>
        </w:rPr>
        <w:t>需求</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（一）灭火器说明</w:t>
      </w:r>
    </w:p>
    <w:p>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w:t>
      </w:r>
      <w:r>
        <w:rPr>
          <w:rFonts w:hint="default" w:ascii="宋体" w:hAnsi="宋体" w:cs="宋体"/>
          <w:kern w:val="0"/>
          <w:sz w:val="28"/>
          <w:szCs w:val="28"/>
          <w:shd w:val="clear" w:color="auto" w:fill="FFFFFF"/>
          <w:lang w:val="en-US" w:eastAsia="zh-CN" w:bidi="ar-SA"/>
        </w:rPr>
        <w:t>品牌</w:t>
      </w:r>
      <w:r>
        <w:rPr>
          <w:rFonts w:hint="eastAsia" w:ascii="宋体" w:hAnsi="宋体" w:cs="宋体"/>
          <w:kern w:val="0"/>
          <w:sz w:val="28"/>
          <w:szCs w:val="28"/>
          <w:shd w:val="clear" w:color="auto" w:fill="FFFFFF"/>
          <w:lang w:val="en-US" w:eastAsia="zh-CN" w:bidi="ar-SA"/>
        </w:rPr>
        <w:t>：广州胜安</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w:t>
      </w:r>
      <w:r>
        <w:rPr>
          <w:rFonts w:hint="default" w:ascii="宋体" w:hAnsi="宋体" w:cs="宋体"/>
          <w:kern w:val="0"/>
          <w:sz w:val="28"/>
          <w:szCs w:val="28"/>
          <w:shd w:val="clear" w:color="auto" w:fill="FFFFFF"/>
          <w:lang w:val="en-US" w:eastAsia="zh-CN" w:bidi="ar-SA"/>
        </w:rPr>
        <w:t>型号：</w:t>
      </w:r>
      <w:r>
        <w:rPr>
          <w:rFonts w:hint="eastAsia" w:ascii="宋体" w:hAnsi="宋体" w:cs="宋体"/>
          <w:kern w:val="0"/>
          <w:sz w:val="28"/>
          <w:szCs w:val="28"/>
          <w:shd w:val="clear" w:color="auto" w:fill="FFFFFF"/>
          <w:lang w:val="en-US" w:eastAsia="zh-CN" w:bidi="ar-SA"/>
        </w:rPr>
        <w:t>MFZ/ABC4型</w:t>
      </w: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（二）灭火器技术需求</w:t>
      </w:r>
    </w:p>
    <w:p>
      <w:pPr>
        <w:pStyle w:val="14"/>
        <w:numPr>
          <w:ilvl w:val="0"/>
          <w:numId w:val="0"/>
        </w:numPr>
        <w:rPr>
          <w:rFonts w:hint="eastAsia" w:ascii="宋体" w:hAnsi="宋体" w:eastAsia="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1、手提式干粉灭火器需由由筒体、瓶头阀、喷射软管等部件构成，符合国家标准GB 4351.1-2005，适用扑灭ABC类火灾。</w:t>
      </w:r>
    </w:p>
    <w:p>
      <w:pPr>
        <w:pStyle w:val="14"/>
        <w:numPr>
          <w:ilvl w:val="0"/>
          <w:numId w:val="0"/>
        </w:numPr>
        <w:rPr>
          <w:rFonts w:hint="eastAsia" w:ascii="宋体" w:hAnsi="宋体" w:eastAsia="宋体" w:cs="宋体"/>
          <w:kern w:val="0"/>
          <w:sz w:val="28"/>
          <w:szCs w:val="28"/>
          <w:shd w:val="clear" w:color="auto" w:fill="FFFFFF"/>
          <w:lang w:val="en-US" w:eastAsia="zh-CN" w:bidi="ar-SA"/>
        </w:rPr>
      </w:pP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7、参考样式图片：</w:t>
      </w:r>
    </w:p>
    <w:p>
      <w:pPr>
        <w:pStyle w:val="14"/>
        <w:numPr>
          <w:ilvl w:val="0"/>
          <w:numId w:val="0"/>
        </w:numPr>
        <w:rPr>
          <w:rFonts w:hint="default" w:ascii="宋体" w:hAnsi="宋体" w:cs="宋体"/>
          <w:kern w:val="0"/>
          <w:sz w:val="28"/>
          <w:szCs w:val="28"/>
          <w:shd w:val="clear" w:color="auto" w:fill="FFFFFF"/>
          <w:lang w:val="en-US" w:eastAsia="zh-CN" w:bidi="ar-SA"/>
        </w:rPr>
      </w:pPr>
      <w:r>
        <w:rPr>
          <w:rFonts w:hint="default" w:ascii="宋体" w:hAnsi="宋体" w:cs="宋体"/>
          <w:kern w:val="0"/>
          <w:sz w:val="28"/>
          <w:szCs w:val="28"/>
          <w:shd w:val="clear" w:color="auto" w:fill="FFFFFF"/>
          <w:lang w:val="en-US" w:eastAsia="zh-CN" w:bidi="ar-SA"/>
        </w:rPr>
        <w:drawing>
          <wp:inline distT="0" distB="0" distL="114300" distR="114300">
            <wp:extent cx="5274945" cy="7035800"/>
            <wp:effectExtent l="0" t="0" r="1905" b="12700"/>
            <wp:docPr id="1" name="图片 1" descr="b58c0d74ec6211cfeadfca6db5500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58c0d74ec6211cfeadfca6db5500a12"/>
                    <pic:cNvPicPr>
                      <a:picLocks noChangeAspect="1"/>
                    </pic:cNvPicPr>
                  </pic:nvPicPr>
                  <pic:blipFill>
                    <a:blip r:embed="rId6"/>
                    <a:stretch>
                      <a:fillRect/>
                    </a:stretch>
                  </pic:blipFill>
                  <pic:spPr>
                    <a:xfrm>
                      <a:off x="0" y="0"/>
                      <a:ext cx="5274945" cy="7035800"/>
                    </a:xfrm>
                    <a:prstGeom prst="rect">
                      <a:avLst/>
                    </a:prstGeom>
                  </pic:spPr>
                </pic:pic>
              </a:graphicData>
            </a:graphic>
          </wp:inline>
        </w:drawing>
      </w:r>
    </w:p>
    <w:p>
      <w:pPr>
        <w:pStyle w:val="14"/>
        <w:numPr>
          <w:ilvl w:val="0"/>
          <w:numId w:val="0"/>
        </w:numPr>
        <w:rPr>
          <w:rFonts w:hint="eastAsia" w:ascii="宋体" w:hAnsi="宋体" w:eastAsia="宋体" w:cs="宋体"/>
          <w:kern w:val="0"/>
          <w:sz w:val="28"/>
          <w:szCs w:val="28"/>
          <w:shd w:val="clear" w:color="auto" w:fill="FFFFFF"/>
          <w:lang w:val="en-US" w:eastAsia="zh-CN" w:bidi="ar-SA"/>
        </w:rPr>
      </w:pPr>
    </w:p>
    <w:p>
      <w:pPr>
        <w:pStyle w:val="14"/>
        <w:numPr>
          <w:ilvl w:val="0"/>
          <w:numId w:val="0"/>
        </w:numPr>
        <w:rPr>
          <w:rFonts w:hint="eastAsia" w:ascii="宋体" w:hAnsi="宋体" w:eastAsia="宋体" w:cs="宋体"/>
          <w:kern w:val="0"/>
          <w:sz w:val="28"/>
          <w:szCs w:val="28"/>
          <w:shd w:val="clear" w:color="auto" w:fill="FFFFFF"/>
          <w:lang w:val="en-US" w:eastAsia="zh-CN" w:bidi="ar-SA"/>
        </w:rPr>
      </w:pPr>
    </w:p>
    <w:p>
      <w:pPr>
        <w:numPr>
          <w:ilvl w:val="0"/>
          <w:numId w:val="2"/>
        </w:numPr>
        <w:ind w:left="0" w:leftChars="0" w:firstLine="0" w:firstLineChars="0"/>
        <w:rPr>
          <w:rFonts w:hint="eastAsia"/>
          <w:b/>
          <w:bCs/>
          <w:sz w:val="28"/>
          <w:szCs w:val="28"/>
          <w:lang w:val="en-US" w:eastAsia="zh-CN"/>
        </w:rPr>
      </w:pPr>
      <w:r>
        <w:rPr>
          <w:rFonts w:hint="eastAsia"/>
          <w:b/>
          <w:bCs/>
          <w:sz w:val="28"/>
          <w:szCs w:val="28"/>
          <w:lang w:val="en-US" w:eastAsia="zh-CN"/>
        </w:rPr>
        <w:t>商务需求</w:t>
      </w:r>
    </w:p>
    <w:p>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（一）服务提供地点：广州市白云区横滘二路81号（同德院区）。</w:t>
      </w:r>
    </w:p>
    <w:p>
      <w:pPr>
        <w:pStyle w:val="14"/>
        <w:numPr>
          <w:ilvl w:val="0"/>
          <w:numId w:val="0"/>
        </w:numPr>
        <w:rPr>
          <w:rFonts w:hint="default"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（二）送货要求</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1、成交供应商的实际供货单价是以双方签订的供货合同中最终确认的供货价为执行标准。</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2、采购人与成交供应商按合同进行下单采购，成交供应商需在收到订货单后7日内负责将货物免费送到采购人指定地点交货，并由采购人作验收记录。</w:t>
      </w: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3、成交供应商不按规定逾期交货的，须向采购人偿付逾期货物总值的20%的违约金。</w:t>
      </w:r>
    </w:p>
    <w:p>
      <w:pPr>
        <w:pStyle w:val="14"/>
        <w:numPr>
          <w:ilvl w:val="0"/>
          <w:numId w:val="0"/>
        </w:numPr>
        <w:rPr>
          <w:rFonts w:hint="default" w:ascii="宋体" w:hAnsi="宋体" w:cs="宋体"/>
          <w:kern w:val="0"/>
          <w:sz w:val="28"/>
          <w:szCs w:val="28"/>
          <w:shd w:val="clear" w:color="auto" w:fill="FFFFFF"/>
          <w:lang w:val="en-US" w:eastAsia="zh-CN" w:bidi="ar-SA"/>
        </w:rPr>
      </w:pPr>
    </w:p>
    <w:p>
      <w:pPr>
        <w:pStyle w:val="14"/>
        <w:numPr>
          <w:ilvl w:val="0"/>
          <w:numId w:val="0"/>
        </w:numPr>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（三）验收要求</w:t>
      </w:r>
    </w:p>
    <w:p>
      <w:pPr>
        <w:pStyle w:val="14"/>
        <w:numPr>
          <w:ilvl w:val="0"/>
          <w:numId w:val="0"/>
        </w:numPr>
        <w:ind w:firstLine="560" w:firstLineChars="200"/>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1、买卖双方将依据有关规定，对到货进行表面（型号、规格、数量、外型、外观、包装及资料、文件等）检验。</w:t>
      </w:r>
    </w:p>
    <w:p>
      <w:pPr>
        <w:pStyle w:val="14"/>
        <w:numPr>
          <w:ilvl w:val="0"/>
          <w:numId w:val="0"/>
        </w:numPr>
        <w:ind w:firstLine="560" w:firstLineChars="200"/>
        <w:rPr>
          <w:rFonts w:hint="eastAsia" w:ascii="宋体" w:hAnsi="宋体" w:cs="宋体"/>
          <w:kern w:val="0"/>
          <w:sz w:val="28"/>
          <w:szCs w:val="28"/>
          <w:shd w:val="clear" w:color="auto" w:fill="FFFFFF"/>
          <w:lang w:val="en-US" w:eastAsia="zh-CN" w:bidi="ar-SA"/>
        </w:rPr>
      </w:pPr>
      <w:r>
        <w:rPr>
          <w:rFonts w:hint="eastAsia" w:ascii="宋体" w:hAnsi="宋体" w:cs="宋体"/>
          <w:kern w:val="0"/>
          <w:sz w:val="28"/>
          <w:szCs w:val="28"/>
          <w:shd w:val="clear" w:color="auto" w:fill="FFFFFF"/>
          <w:lang w:val="en-US" w:eastAsia="zh-CN" w:bidi="ar-SA"/>
        </w:rPr>
        <w:t>2、当货物运抵采购人的现场后发现有缺陷或与合同不符，成交供应商应在3天内进行更换或修复，并自行承担有关费用。如未及时更换，采购人有权拒绝支付货款。</w:t>
      </w:r>
    </w:p>
    <w:p>
      <w:pPr>
        <w:pStyle w:val="14"/>
        <w:numPr>
          <w:ilvl w:val="0"/>
          <w:numId w:val="0"/>
        </w:numPr>
        <w:rPr>
          <w:rFonts w:hint="default" w:ascii="宋体" w:hAnsi="宋体" w:cs="宋体"/>
          <w:kern w:val="0"/>
          <w:sz w:val="28"/>
          <w:szCs w:val="28"/>
          <w:shd w:val="clear" w:color="auto" w:fill="FFFFFF"/>
          <w:lang w:val="en-US" w:eastAsia="zh-CN" w:bidi="ar-SA"/>
        </w:rPr>
      </w:pP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w:t>
      </w:r>
      <w:r>
        <w:rPr>
          <w:rFonts w:hint="eastAsia" w:ascii="宋体" w:hAnsi="宋体" w:cs="宋体"/>
          <w:kern w:val="0"/>
          <w:sz w:val="28"/>
          <w:szCs w:val="28"/>
          <w:shd w:val="clear" w:color="auto" w:fill="FFFFFF"/>
          <w:lang w:val="en-US" w:eastAsia="zh-CN" w:bidi="ar-SA"/>
        </w:rPr>
        <w:t>二</w:t>
      </w:r>
      <w:r>
        <w:rPr>
          <w:rFonts w:hint="eastAsia" w:ascii="宋体" w:hAnsi="宋体" w:eastAsia="宋体" w:cs="宋体"/>
          <w:kern w:val="0"/>
          <w:sz w:val="28"/>
          <w:szCs w:val="28"/>
          <w:shd w:val="clear" w:color="auto" w:fill="FFFFFF"/>
          <w:lang w:val="en-US" w:eastAsia="zh-CN" w:bidi="ar-SA"/>
        </w:rPr>
        <w:t>）</w:t>
      </w:r>
      <w:r>
        <w:rPr>
          <w:rFonts w:hint="default" w:ascii="宋体" w:hAnsi="宋体" w:eastAsia="宋体" w:cs="宋体"/>
          <w:kern w:val="0"/>
          <w:sz w:val="28"/>
          <w:szCs w:val="28"/>
          <w:shd w:val="clear" w:color="auto" w:fill="FFFFFF"/>
          <w:lang w:val="en-US" w:eastAsia="zh-CN" w:bidi="ar-SA"/>
        </w:rPr>
        <w:t>付款方式</w:t>
      </w: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1、</w:t>
      </w:r>
      <w:r>
        <w:rPr>
          <w:rFonts w:hint="eastAsia" w:ascii="宋体" w:hAnsi="宋体" w:cs="宋体"/>
          <w:kern w:val="0"/>
          <w:sz w:val="28"/>
          <w:szCs w:val="28"/>
          <w:shd w:val="clear" w:color="auto" w:fill="FFFFFF"/>
          <w:lang w:val="en-US" w:eastAsia="zh-CN" w:bidi="ar-SA"/>
        </w:rPr>
        <w:t>按实际送货结算：成交</w:t>
      </w:r>
      <w:r>
        <w:rPr>
          <w:rFonts w:hint="default" w:ascii="宋体" w:hAnsi="宋体" w:eastAsia="宋体" w:cs="宋体"/>
          <w:kern w:val="0"/>
          <w:sz w:val="28"/>
          <w:szCs w:val="28"/>
          <w:shd w:val="clear" w:color="auto" w:fill="FFFFFF"/>
          <w:lang w:val="en-US" w:eastAsia="zh-CN" w:bidi="ar-SA"/>
        </w:rPr>
        <w:t>供应商</w:t>
      </w:r>
      <w:r>
        <w:rPr>
          <w:rFonts w:hint="eastAsia" w:ascii="宋体" w:hAnsi="宋体" w:cs="宋体"/>
          <w:kern w:val="0"/>
          <w:sz w:val="28"/>
          <w:szCs w:val="28"/>
          <w:shd w:val="clear" w:color="auto" w:fill="FFFFFF"/>
          <w:lang w:val="en-US" w:eastAsia="zh-CN" w:bidi="ar-SA"/>
        </w:rPr>
        <w:t>送货，经采购人验收合格且</w:t>
      </w:r>
      <w:r>
        <w:rPr>
          <w:rFonts w:hint="default" w:ascii="宋体" w:hAnsi="宋体" w:eastAsia="宋体" w:cs="宋体"/>
          <w:kern w:val="0"/>
          <w:sz w:val="28"/>
          <w:szCs w:val="28"/>
          <w:highlight w:val="none"/>
          <w:shd w:val="clear" w:color="auto" w:fill="FFFFFF"/>
          <w:lang w:val="en-US" w:eastAsia="zh-CN" w:bidi="ar-SA"/>
        </w:rPr>
        <w:t>将</w:t>
      </w:r>
      <w:r>
        <w:rPr>
          <w:rFonts w:hint="eastAsia" w:ascii="宋体" w:hAnsi="宋体" w:cs="宋体"/>
          <w:kern w:val="0"/>
          <w:sz w:val="28"/>
          <w:szCs w:val="28"/>
          <w:highlight w:val="none"/>
          <w:shd w:val="clear" w:color="auto" w:fill="FFFFFF"/>
          <w:lang w:val="en-US" w:eastAsia="zh-CN" w:bidi="ar-SA"/>
        </w:rPr>
        <w:t>送货</w:t>
      </w:r>
      <w:r>
        <w:rPr>
          <w:rFonts w:hint="default" w:ascii="宋体" w:hAnsi="宋体" w:eastAsia="宋体" w:cs="宋体"/>
          <w:kern w:val="0"/>
          <w:sz w:val="28"/>
          <w:szCs w:val="28"/>
          <w:highlight w:val="none"/>
          <w:shd w:val="clear" w:color="auto" w:fill="FFFFFF"/>
          <w:lang w:val="en-US" w:eastAsia="zh-CN" w:bidi="ar-SA"/>
        </w:rPr>
        <w:t>清单交采购人核对无误后，</w:t>
      </w:r>
      <w:r>
        <w:rPr>
          <w:rFonts w:hint="eastAsia" w:ascii="宋体" w:hAnsi="宋体" w:cs="宋体"/>
          <w:kern w:val="0"/>
          <w:sz w:val="28"/>
          <w:szCs w:val="28"/>
          <w:highlight w:val="none"/>
          <w:shd w:val="clear" w:color="auto" w:fill="FFFFFF"/>
          <w:lang w:val="en-US" w:eastAsia="zh-CN" w:bidi="ar-SA"/>
        </w:rPr>
        <w:t>成交供应商应</w:t>
      </w:r>
      <w:r>
        <w:rPr>
          <w:rFonts w:hint="default" w:ascii="宋体" w:hAnsi="宋体" w:eastAsia="宋体" w:cs="宋体"/>
          <w:kern w:val="0"/>
          <w:sz w:val="28"/>
          <w:szCs w:val="28"/>
          <w:highlight w:val="none"/>
          <w:shd w:val="clear" w:color="auto" w:fill="FFFFFF"/>
          <w:lang w:val="en-US" w:eastAsia="zh-CN" w:bidi="ar-SA"/>
        </w:rPr>
        <w:t>开具</w:t>
      </w:r>
      <w:r>
        <w:rPr>
          <w:rFonts w:hint="eastAsia" w:ascii="宋体" w:hAnsi="宋体" w:cs="宋体"/>
          <w:kern w:val="0"/>
          <w:sz w:val="28"/>
          <w:szCs w:val="28"/>
          <w:highlight w:val="none"/>
          <w:shd w:val="clear" w:color="auto" w:fill="FFFFFF"/>
          <w:lang w:val="en-US" w:eastAsia="zh-CN" w:bidi="ar-SA"/>
        </w:rPr>
        <w:t>增值税普通发票交采购人</w:t>
      </w:r>
      <w:r>
        <w:rPr>
          <w:rFonts w:hint="default" w:ascii="宋体" w:hAnsi="宋体" w:eastAsia="宋体" w:cs="宋体"/>
          <w:kern w:val="0"/>
          <w:sz w:val="28"/>
          <w:szCs w:val="28"/>
          <w:highlight w:val="none"/>
          <w:shd w:val="clear" w:color="auto" w:fill="FFFFFF"/>
          <w:lang w:val="en-US" w:eastAsia="zh-CN" w:bidi="ar-SA"/>
        </w:rPr>
        <w:t>，采购人在</w:t>
      </w:r>
      <w:r>
        <w:rPr>
          <w:rFonts w:hint="eastAsia" w:ascii="宋体" w:hAnsi="宋体" w:cs="宋体"/>
          <w:kern w:val="0"/>
          <w:sz w:val="28"/>
          <w:szCs w:val="28"/>
          <w:highlight w:val="none"/>
          <w:shd w:val="clear" w:color="auto" w:fill="FFFFFF"/>
          <w:lang w:val="en-US" w:eastAsia="zh-CN" w:bidi="ar-SA"/>
        </w:rPr>
        <w:t>15</w:t>
      </w:r>
      <w:r>
        <w:rPr>
          <w:rFonts w:hint="default" w:ascii="宋体" w:hAnsi="宋体" w:eastAsia="宋体" w:cs="宋体"/>
          <w:kern w:val="0"/>
          <w:sz w:val="28"/>
          <w:szCs w:val="28"/>
          <w:highlight w:val="none"/>
          <w:shd w:val="clear" w:color="auto" w:fill="FFFFFF"/>
          <w:lang w:val="en-US" w:eastAsia="zh-CN" w:bidi="ar-SA"/>
        </w:rPr>
        <w:t>个工作日内以</w:t>
      </w:r>
      <w:r>
        <w:rPr>
          <w:rFonts w:hint="eastAsia" w:ascii="宋体" w:hAnsi="宋体" w:cs="宋体"/>
          <w:kern w:val="0"/>
          <w:sz w:val="28"/>
          <w:szCs w:val="28"/>
          <w:highlight w:val="none"/>
          <w:shd w:val="clear" w:color="auto" w:fill="FFFFFF"/>
          <w:lang w:val="en-US" w:eastAsia="zh-CN" w:bidi="ar-SA"/>
        </w:rPr>
        <w:t>对公</w:t>
      </w:r>
      <w:r>
        <w:rPr>
          <w:rFonts w:hint="default" w:ascii="宋体" w:hAnsi="宋体" w:eastAsia="宋体" w:cs="宋体"/>
          <w:kern w:val="0"/>
          <w:sz w:val="28"/>
          <w:szCs w:val="28"/>
          <w:highlight w:val="none"/>
          <w:shd w:val="clear" w:color="auto" w:fill="FFFFFF"/>
          <w:lang w:val="en-US" w:eastAsia="zh-CN" w:bidi="ar-SA"/>
        </w:rPr>
        <w:t>转账方式进行结算。</w:t>
      </w:r>
    </w:p>
    <w:p>
      <w:pPr>
        <w:pStyle w:val="14"/>
        <w:numPr>
          <w:ilvl w:val="0"/>
          <w:numId w:val="0"/>
        </w:numPr>
        <w:rPr>
          <w:rFonts w:hint="default" w:ascii="宋体" w:hAnsi="宋体" w:eastAsia="宋体" w:cs="宋体"/>
          <w:kern w:val="0"/>
          <w:sz w:val="28"/>
          <w:szCs w:val="28"/>
          <w:shd w:val="clear" w:color="auto" w:fill="FFFFFF"/>
          <w:lang w:val="en-US" w:eastAsia="zh-CN" w:bidi="ar-SA"/>
        </w:rPr>
      </w:pPr>
      <w:r>
        <w:rPr>
          <w:rFonts w:hint="eastAsia" w:ascii="宋体" w:hAnsi="宋体" w:eastAsia="宋体" w:cs="宋体"/>
          <w:kern w:val="0"/>
          <w:sz w:val="28"/>
          <w:szCs w:val="28"/>
          <w:shd w:val="clear" w:color="auto" w:fill="FFFFFF"/>
          <w:lang w:val="en-US" w:eastAsia="zh-CN" w:bidi="ar-SA"/>
        </w:rPr>
        <w:t>2、</w:t>
      </w:r>
      <w:r>
        <w:rPr>
          <w:rFonts w:hint="default" w:ascii="宋体" w:hAnsi="宋体" w:eastAsia="宋体" w:cs="宋体"/>
          <w:kern w:val="0"/>
          <w:sz w:val="28"/>
          <w:szCs w:val="28"/>
          <w:shd w:val="clear" w:color="auto" w:fill="FFFFFF"/>
          <w:lang w:val="en-US" w:eastAsia="zh-CN" w:bidi="ar-SA"/>
        </w:rPr>
        <w:t>结算价格：以</w:t>
      </w:r>
      <w:r>
        <w:rPr>
          <w:rFonts w:hint="eastAsia" w:ascii="宋体" w:hAnsi="宋体" w:cs="宋体"/>
          <w:kern w:val="0"/>
          <w:sz w:val="28"/>
          <w:szCs w:val="28"/>
          <w:shd w:val="clear" w:color="auto" w:fill="FFFFFF"/>
          <w:lang w:val="en-US" w:eastAsia="zh-CN" w:bidi="ar-SA"/>
        </w:rPr>
        <w:t>实际</w:t>
      </w:r>
      <w:r>
        <w:rPr>
          <w:rFonts w:hint="default" w:ascii="宋体" w:hAnsi="宋体" w:eastAsia="宋体" w:cs="宋体"/>
          <w:kern w:val="0"/>
          <w:sz w:val="28"/>
          <w:szCs w:val="28"/>
          <w:shd w:val="clear" w:color="auto" w:fill="FFFFFF"/>
          <w:lang w:val="en-US" w:eastAsia="zh-CN" w:bidi="ar-SA"/>
        </w:rPr>
        <w:t>采购数量与</w:t>
      </w:r>
      <w:r>
        <w:rPr>
          <w:rFonts w:hint="eastAsia" w:ascii="宋体" w:hAnsi="宋体" w:cs="宋体"/>
          <w:kern w:val="0"/>
          <w:sz w:val="28"/>
          <w:szCs w:val="28"/>
          <w:shd w:val="clear" w:color="auto" w:fill="FFFFFF"/>
          <w:lang w:val="en-US" w:eastAsia="zh-CN" w:bidi="ar-SA"/>
        </w:rPr>
        <w:t>合同单价</w:t>
      </w:r>
      <w:r>
        <w:rPr>
          <w:rFonts w:hint="default" w:ascii="宋体" w:hAnsi="宋体" w:eastAsia="宋体" w:cs="宋体"/>
          <w:kern w:val="0"/>
          <w:sz w:val="28"/>
          <w:szCs w:val="28"/>
          <w:shd w:val="clear" w:color="auto" w:fill="FFFFFF"/>
          <w:lang w:val="en-US" w:eastAsia="zh-CN" w:bidi="ar-SA"/>
        </w:rPr>
        <w:t>的乘积为实际结算价。如</w:t>
      </w:r>
      <w:r>
        <w:rPr>
          <w:rFonts w:hint="eastAsia" w:ascii="宋体" w:hAnsi="宋体" w:cs="宋体"/>
          <w:kern w:val="0"/>
          <w:sz w:val="28"/>
          <w:szCs w:val="28"/>
          <w:shd w:val="clear" w:color="auto" w:fill="FFFFFF"/>
          <w:lang w:val="en-US" w:eastAsia="zh-CN" w:bidi="ar-SA"/>
        </w:rPr>
        <w:t>果</w:t>
      </w:r>
      <w:r>
        <w:rPr>
          <w:rFonts w:hint="default" w:ascii="宋体" w:hAnsi="宋体" w:eastAsia="宋体" w:cs="宋体"/>
          <w:kern w:val="0"/>
          <w:sz w:val="28"/>
          <w:szCs w:val="28"/>
          <w:shd w:val="clear" w:color="auto" w:fill="FFFFFF"/>
          <w:lang w:val="en-US" w:eastAsia="zh-CN" w:bidi="ar-SA"/>
        </w:rPr>
        <w:t>产生违约金额，则按协议条款相应扣除。</w:t>
      </w:r>
      <w:bookmarkStart w:id="2" w:name="_GoBack"/>
      <w:bookmarkEnd w:id="2"/>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75485"/>
    <w:multiLevelType w:val="singleLevel"/>
    <w:tmpl w:val="9A775485"/>
    <w:lvl w:ilvl="0" w:tentative="0">
      <w:start w:val="1"/>
      <w:numFmt w:val="chineseCounting"/>
      <w:suff w:val="nothing"/>
      <w:lvlText w:val="%1、"/>
      <w:lvlJc w:val="left"/>
      <w:rPr>
        <w:rFonts w:hint="eastAsia"/>
      </w:rPr>
    </w:lvl>
  </w:abstractNum>
  <w:abstractNum w:abstractNumId="1">
    <w:nsid w:val="7556F301"/>
    <w:multiLevelType w:val="singleLevel"/>
    <w:tmpl w:val="7556F30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MTVkMzBhZWJhMzQ1OWNjNjE3OTU5MWRhMTk1YzgifQ=="/>
  </w:docVars>
  <w:rsids>
    <w:rsidRoot w:val="00000000"/>
    <w:rsid w:val="02A824AD"/>
    <w:rsid w:val="02F94AB6"/>
    <w:rsid w:val="037C1244"/>
    <w:rsid w:val="055E241A"/>
    <w:rsid w:val="06E4782C"/>
    <w:rsid w:val="078260C4"/>
    <w:rsid w:val="096B1B3E"/>
    <w:rsid w:val="09DE2B7B"/>
    <w:rsid w:val="0C6E5E05"/>
    <w:rsid w:val="0D5C5C58"/>
    <w:rsid w:val="0EBE0962"/>
    <w:rsid w:val="0ECA7307"/>
    <w:rsid w:val="111F3CDF"/>
    <w:rsid w:val="1444190A"/>
    <w:rsid w:val="14EC0437"/>
    <w:rsid w:val="16B3069F"/>
    <w:rsid w:val="16D91055"/>
    <w:rsid w:val="17C927A6"/>
    <w:rsid w:val="19BF0437"/>
    <w:rsid w:val="1A0152BD"/>
    <w:rsid w:val="1A4C1518"/>
    <w:rsid w:val="1B662AAD"/>
    <w:rsid w:val="1DA8115B"/>
    <w:rsid w:val="1F161B67"/>
    <w:rsid w:val="20BE47F2"/>
    <w:rsid w:val="21F174B2"/>
    <w:rsid w:val="2208041A"/>
    <w:rsid w:val="23850E10"/>
    <w:rsid w:val="23F81132"/>
    <w:rsid w:val="243215A7"/>
    <w:rsid w:val="24534FAF"/>
    <w:rsid w:val="24ED38F7"/>
    <w:rsid w:val="25E22D30"/>
    <w:rsid w:val="267B5911"/>
    <w:rsid w:val="281232C0"/>
    <w:rsid w:val="28C45A67"/>
    <w:rsid w:val="293B7327"/>
    <w:rsid w:val="2A3A75DF"/>
    <w:rsid w:val="2AFE7BD8"/>
    <w:rsid w:val="2ED0406E"/>
    <w:rsid w:val="32A7158A"/>
    <w:rsid w:val="32BF42E1"/>
    <w:rsid w:val="32F01183"/>
    <w:rsid w:val="33305A23"/>
    <w:rsid w:val="34304446"/>
    <w:rsid w:val="34871673"/>
    <w:rsid w:val="352B64A2"/>
    <w:rsid w:val="3560758A"/>
    <w:rsid w:val="37621F23"/>
    <w:rsid w:val="39DC7D6B"/>
    <w:rsid w:val="3A3F02FA"/>
    <w:rsid w:val="3ADE3FB6"/>
    <w:rsid w:val="3B443E1A"/>
    <w:rsid w:val="3B5A2DBF"/>
    <w:rsid w:val="3B7B4612"/>
    <w:rsid w:val="3B7D557D"/>
    <w:rsid w:val="3B886C40"/>
    <w:rsid w:val="3CA209B6"/>
    <w:rsid w:val="3CEC29BB"/>
    <w:rsid w:val="3DE47B36"/>
    <w:rsid w:val="3E391C30"/>
    <w:rsid w:val="3ED951C1"/>
    <w:rsid w:val="3F620473"/>
    <w:rsid w:val="40E25F22"/>
    <w:rsid w:val="42B85E4D"/>
    <w:rsid w:val="43972F54"/>
    <w:rsid w:val="4A764942"/>
    <w:rsid w:val="4BC468B1"/>
    <w:rsid w:val="4C4C5C5D"/>
    <w:rsid w:val="4D2B2FC8"/>
    <w:rsid w:val="512C363C"/>
    <w:rsid w:val="530F6FAB"/>
    <w:rsid w:val="53605111"/>
    <w:rsid w:val="53B03160"/>
    <w:rsid w:val="544113E6"/>
    <w:rsid w:val="5595230F"/>
    <w:rsid w:val="56153315"/>
    <w:rsid w:val="600A4D82"/>
    <w:rsid w:val="603F3459"/>
    <w:rsid w:val="627F6034"/>
    <w:rsid w:val="62F20904"/>
    <w:rsid w:val="63161C90"/>
    <w:rsid w:val="638E6635"/>
    <w:rsid w:val="63DA2CBD"/>
    <w:rsid w:val="66134265"/>
    <w:rsid w:val="67D363A2"/>
    <w:rsid w:val="689D19CC"/>
    <w:rsid w:val="690A01C2"/>
    <w:rsid w:val="694A4441"/>
    <w:rsid w:val="69B00487"/>
    <w:rsid w:val="6A072332"/>
    <w:rsid w:val="6AE52674"/>
    <w:rsid w:val="6B3042FF"/>
    <w:rsid w:val="6C186A79"/>
    <w:rsid w:val="6C5F6456"/>
    <w:rsid w:val="6FBC4210"/>
    <w:rsid w:val="706A53C9"/>
    <w:rsid w:val="7080699B"/>
    <w:rsid w:val="7170412F"/>
    <w:rsid w:val="722C2936"/>
    <w:rsid w:val="72FD2525"/>
    <w:rsid w:val="75B50E95"/>
    <w:rsid w:val="770025E3"/>
    <w:rsid w:val="785C3E3B"/>
    <w:rsid w:val="795A5FDB"/>
    <w:rsid w:val="7B854C5A"/>
    <w:rsid w:val="7CF1148D"/>
    <w:rsid w:val="7DEB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kern w:val="0"/>
      <w:sz w:val="20"/>
      <w:szCs w:val="20"/>
      <w:lang w:val="en-US" w:eastAsia="zh-CN" w:bidi="ar-SA"/>
    </w:rPr>
  </w:style>
  <w:style w:type="paragraph" w:styleId="3">
    <w:name w:val="heading 1"/>
    <w:basedOn w:val="1"/>
    <w:next w:val="1"/>
    <w:qFormat/>
    <w:uiPriority w:val="0"/>
    <w:pPr>
      <w:keepNext/>
      <w:keepLines/>
      <w:spacing w:after="120" w:line="360" w:lineRule="auto"/>
      <w:outlineLvl w:val="0"/>
    </w:pPr>
    <w:rPr>
      <w:bCs/>
      <w:kern w:val="44"/>
      <w:sz w:val="36"/>
      <w:szCs w:val="36"/>
      <w:u w:val="single"/>
    </w:rPr>
  </w:style>
  <w:style w:type="paragraph" w:styleId="4">
    <w:name w:val="heading 2"/>
    <w:basedOn w:val="1"/>
    <w:next w:val="1"/>
    <w:unhideWhenUsed/>
    <w:qFormat/>
    <w:uiPriority w:val="9"/>
    <w:pPr>
      <w:keepNext/>
      <w:keepLines/>
      <w:spacing w:before="260" w:after="260" w:line="415" w:lineRule="auto"/>
      <w:ind w:firstLine="0" w:firstLineChars="0"/>
      <w:jc w:val="center"/>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Plain Text"/>
    <w:basedOn w:val="1"/>
    <w:qFormat/>
    <w:uiPriority w:val="0"/>
    <w:pPr>
      <w:spacing w:line="240" w:lineRule="auto"/>
      <w:ind w:firstLine="0" w:firstLineChars="0"/>
    </w:pPr>
    <w:rPr>
      <w:rFonts w:ascii="宋体" w:hAnsi="Courier New" w:eastAsia="宋体" w:cs="Times New Roman"/>
      <w:sz w:val="21"/>
      <w:szCs w:val="21"/>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eastAsia="宋体"/>
      <w:b/>
      <w:bCs/>
      <w:kern w:val="2"/>
      <w:sz w:val="24"/>
      <w:szCs w:val="24"/>
      <w:lang w:val="en-US" w:eastAsia="zh-CN" w:bidi="ar-SA"/>
    </w:rPr>
  </w:style>
  <w:style w:type="paragraph" w:customStyle="1" w:styleId="14">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2023-11-30T00:35:00Z</dcterms:created>
  <dc:creator>HP</dc:creator>
  <cp:lastModifiedBy>卢恩濠</cp:lastModifiedBy>
  <dcterms:modified xsi:type="dcterms:W3CDTF">2025-12-04T07:12:22Z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FE540110F9CB491AA5DB19FBA29AD89D</vt:lpwstr>
  </property>
</Properties>
</file>