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lang w:val="en-US" w:eastAsia="zh-CN"/>
        </w:rPr>
      </w:pPr>
      <w:bookmarkStart w:id="0" w:name="_Toc463071336"/>
      <w:bookmarkStart w:id="1" w:name="_Toc469969645"/>
      <w:r>
        <w:rPr>
          <w:rFonts w:hint="eastAsia" w:ascii="宋体" w:hAnsi="宋体" w:cs="宋体"/>
          <w:b/>
          <w:bCs/>
          <w:kern w:val="0"/>
          <w:sz w:val="32"/>
          <w:szCs w:val="32"/>
        </w:rPr>
        <w:t>广州医科大学附属中医医院202</w:t>
      </w:r>
      <w:r>
        <w:rPr>
          <w:rFonts w:hint="eastAsia" w:ascii="宋体" w:hAnsi="宋体" w:cs="宋体"/>
          <w:b/>
          <w:bCs/>
          <w:kern w:val="0"/>
          <w:sz w:val="32"/>
          <w:szCs w:val="32"/>
          <w:lang w:val="en-US" w:eastAsia="zh-CN"/>
        </w:rPr>
        <w:t>4</w:t>
      </w:r>
      <w:r>
        <w:rPr>
          <w:rFonts w:hint="eastAsia" w:ascii="宋体" w:hAnsi="宋体" w:cs="宋体"/>
          <w:b/>
          <w:bCs/>
          <w:kern w:val="0"/>
          <w:sz w:val="32"/>
          <w:szCs w:val="32"/>
        </w:rPr>
        <w:t>年医疗责任保险</w:t>
      </w:r>
      <w:r>
        <w:rPr>
          <w:rFonts w:hint="eastAsia" w:ascii="宋体" w:hAnsi="宋体" w:cs="宋体"/>
          <w:b/>
          <w:bCs/>
          <w:kern w:val="0"/>
          <w:sz w:val="32"/>
          <w:szCs w:val="32"/>
          <w:lang w:val="en-US" w:eastAsia="zh-CN"/>
        </w:rPr>
        <w:t>购买</w:t>
      </w:r>
    </w:p>
    <w:p>
      <w:pPr>
        <w:jc w:val="cente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项目需求文件</w:t>
      </w:r>
    </w:p>
    <w:p>
      <w:pPr>
        <w:numPr>
          <w:ilvl w:val="0"/>
          <w:numId w:val="0"/>
        </w:numPr>
        <w:spacing w:after="156" w:afterLines="50" w:line="360" w:lineRule="auto"/>
        <w:rPr>
          <w:rFonts w:hint="eastAsia" w:ascii="宋体" w:hAnsi="宋体" w:eastAsia="宋体" w:cs="宋体"/>
          <w:b/>
          <w:bCs/>
          <w:color w:val="000000"/>
          <w:sz w:val="28"/>
          <w:szCs w:val="28"/>
          <w:shd w:val="clear" w:color="auto" w:fill="FFFFFF"/>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lang w:val="en-US" w:eastAsia="zh-CN"/>
        </w:rPr>
        <w:t>一、</w:t>
      </w:r>
      <w:r>
        <w:rPr>
          <w:rFonts w:hint="eastAsia" w:ascii="宋体" w:hAnsi="宋体" w:eastAsia="宋体" w:cs="宋体"/>
          <w:b/>
          <w:bCs/>
          <w:color w:val="000000"/>
          <w:sz w:val="28"/>
          <w:szCs w:val="28"/>
          <w:shd w:val="clear" w:color="auto" w:fill="FFFFFF"/>
        </w:rPr>
        <w:t>项目</w:t>
      </w:r>
      <w:r>
        <w:rPr>
          <w:rFonts w:hint="eastAsia" w:ascii="宋体" w:hAnsi="宋体" w:cs="宋体"/>
          <w:b/>
          <w:bCs/>
          <w:color w:val="000000"/>
          <w:sz w:val="28"/>
          <w:szCs w:val="28"/>
          <w:shd w:val="clear" w:color="auto" w:fill="FFFFFF"/>
          <w:lang w:val="en-US" w:eastAsia="zh-CN"/>
        </w:rPr>
        <w:t>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广州医科大学附属中医医院</w:t>
      </w:r>
      <w:r>
        <w:rPr>
          <w:rFonts w:hint="eastAsia" w:ascii="宋体" w:hAnsi="宋体" w:eastAsia="宋体" w:cs="宋体"/>
          <w:color w:val="000000"/>
          <w:sz w:val="28"/>
          <w:szCs w:val="28"/>
          <w:shd w:val="clear" w:color="auto" w:fill="FFFFFF"/>
          <w:lang w:val="en-US" w:eastAsia="zh-CN"/>
        </w:rPr>
        <w:t>202</w:t>
      </w:r>
      <w:r>
        <w:rPr>
          <w:rFonts w:hint="eastAsia" w:ascii="宋体" w:hAnsi="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val="en-US" w:eastAsia="zh-CN"/>
        </w:rPr>
        <w:t>年医疗责任保险购买项目</w:t>
      </w:r>
      <w:r>
        <w:rPr>
          <w:rFonts w:hint="eastAsia" w:ascii="宋体" w:hAnsi="宋体" w:eastAsia="宋体" w:cs="宋体"/>
          <w:color w:val="000000"/>
          <w:sz w:val="28"/>
          <w:szCs w:val="28"/>
          <w:shd w:val="clear" w:color="auto" w:fill="FFFFFF"/>
        </w:rPr>
        <w:t>。</w:t>
      </w:r>
      <w:bookmarkEnd w:id="0"/>
      <w:bookmarkEnd w:id="1"/>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color w:val="000000"/>
          <w:sz w:val="28"/>
          <w:szCs w:val="28"/>
          <w:shd w:val="clear" w:color="auto" w:fill="FFFFFF"/>
          <w:lang w:val="en-US" w:eastAsia="zh-CN"/>
        </w:rPr>
        <w:t>二、</w:t>
      </w:r>
      <w:r>
        <w:rPr>
          <w:rFonts w:hint="eastAsia" w:ascii="宋体" w:hAnsi="宋体" w:eastAsia="宋体" w:cs="宋体"/>
          <w:b/>
          <w:bCs/>
          <w:color w:val="auto"/>
          <w:sz w:val="28"/>
          <w:szCs w:val="28"/>
          <w:highlight w:val="none"/>
          <w:lang w:eastAsia="zh-CN"/>
        </w:rPr>
        <w:t>广州医科大学附属中医医院</w:t>
      </w:r>
      <w:r>
        <w:rPr>
          <w:rFonts w:hint="eastAsia" w:ascii="宋体" w:hAnsi="宋体" w:eastAsia="宋体" w:cs="宋体"/>
          <w:b/>
          <w:bCs/>
          <w:color w:val="auto"/>
          <w:sz w:val="28"/>
          <w:szCs w:val="28"/>
          <w:highlight w:val="none"/>
          <w:lang w:val="en-US" w:eastAsia="zh-CN"/>
        </w:rPr>
        <w:t>投保</w:t>
      </w:r>
      <w:r>
        <w:rPr>
          <w:rFonts w:hint="eastAsia" w:ascii="宋体" w:hAnsi="宋体" w:eastAsia="宋体" w:cs="宋体"/>
          <w:b/>
          <w:bCs/>
          <w:color w:val="auto"/>
          <w:sz w:val="28"/>
          <w:szCs w:val="28"/>
          <w:highlight w:val="none"/>
        </w:rPr>
        <w:t>基本信息</w:t>
      </w:r>
    </w:p>
    <w:tbl>
      <w:tblPr>
        <w:tblStyle w:val="8"/>
        <w:tblpPr w:leftFromText="180" w:rightFromText="180" w:vertAnchor="text" w:horzAnchor="page" w:tblpX="1480" w:tblpY="226"/>
        <w:tblOverlap w:val="never"/>
        <w:tblW w:w="9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3"/>
        <w:gridCol w:w="5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医疗机构等级：</w:t>
            </w:r>
          </w:p>
        </w:tc>
        <w:tc>
          <w:tcPr>
            <w:tcW w:w="5894"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8"/>
                <w:szCs w:val="28"/>
                <w:highlight w:val="none"/>
                <w14:textFill>
                  <w14:solidFill>
                    <w14:schemeClr w14:val="tx1"/>
                  </w14:solidFill>
                </w14:textFill>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医疗机构类别：</w:t>
            </w:r>
          </w:p>
        </w:tc>
        <w:tc>
          <w:tcPr>
            <w:tcW w:w="5894" w:type="dxa"/>
            <w:vAlign w:val="center"/>
          </w:tcPr>
          <w:p>
            <w:pPr>
              <w:autoSpaceDE w:val="0"/>
              <w:autoSpaceDN w:val="0"/>
              <w:adjustRightInd w:val="0"/>
              <w:spacing w:line="440" w:lineRule="exact"/>
              <w:jc w:val="cente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中医</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（综合）</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床位数：</w:t>
            </w:r>
          </w:p>
        </w:tc>
        <w:tc>
          <w:tcPr>
            <w:tcW w:w="5894" w:type="dxa"/>
            <w:vAlign w:val="center"/>
          </w:tcPr>
          <w:p>
            <w:pPr>
              <w:autoSpaceDE w:val="0"/>
              <w:autoSpaceDN w:val="0"/>
              <w:adjustRightInd w:val="0"/>
              <w:spacing w:line="440" w:lineRule="exact"/>
              <w:jc w:val="cente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07张</w:t>
            </w:r>
            <w:bookmarkStart w:id="5" w:name="_GoBack"/>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医务人员数：</w:t>
            </w:r>
          </w:p>
        </w:tc>
        <w:tc>
          <w:tcPr>
            <w:tcW w:w="5894"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6</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上年度门（急）诊人次：</w:t>
            </w:r>
          </w:p>
        </w:tc>
        <w:tc>
          <w:tcPr>
            <w:tcW w:w="5894"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5</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42</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326</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3373"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上年度出院人数：</w:t>
            </w:r>
          </w:p>
        </w:tc>
        <w:tc>
          <w:tcPr>
            <w:tcW w:w="5894" w:type="dxa"/>
            <w:vAlign w:val="center"/>
          </w:tcPr>
          <w:p>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15,</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662</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人次</w:t>
            </w:r>
          </w:p>
        </w:tc>
      </w:tr>
    </w:tbl>
    <w:p>
      <w:pPr>
        <w:pStyle w:val="4"/>
        <w:rPr>
          <w:rFonts w:hint="eastAsia" w:ascii="宋体" w:hAnsi="宋体" w:eastAsia="宋体" w:cs="宋体"/>
          <w:color w:val="auto"/>
          <w:kern w:val="0"/>
          <w:sz w:val="28"/>
          <w:szCs w:val="28"/>
          <w:highlight w:val="none"/>
        </w:rPr>
      </w:pPr>
      <w:bookmarkStart w:id="2" w:name="_Toc21373"/>
      <w:bookmarkStart w:id="3" w:name="_Toc17385"/>
      <w:bookmarkStart w:id="4" w:name="_Toc5760"/>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、项目内容及要求</w:t>
      </w:r>
      <w:bookmarkEnd w:id="2"/>
      <w:bookmarkEnd w:id="3"/>
      <w:bookmarkEnd w:id="4"/>
      <w:r>
        <w:rPr>
          <w:rFonts w:hint="eastAsia" w:ascii="宋体" w:hAnsi="宋体" w:eastAsia="宋体" w:cs="宋体"/>
          <w:color w:val="auto"/>
          <w:kern w:val="0"/>
          <w:sz w:val="28"/>
          <w:szCs w:val="28"/>
          <w:highlight w:val="none"/>
        </w:rPr>
        <w:t xml:space="preserve">  </w:t>
      </w:r>
    </w:p>
    <w:tbl>
      <w:tblPr>
        <w:tblStyle w:val="8"/>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961"/>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505" w:type="dxa"/>
            <w:vAlign w:val="center"/>
          </w:tcPr>
          <w:p>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采购内容</w:t>
            </w:r>
          </w:p>
        </w:tc>
        <w:tc>
          <w:tcPr>
            <w:tcW w:w="1961" w:type="dxa"/>
            <w:vAlign w:val="center"/>
          </w:tcPr>
          <w:p>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采购预算</w:t>
            </w:r>
          </w:p>
        </w:tc>
        <w:tc>
          <w:tcPr>
            <w:tcW w:w="4732" w:type="dxa"/>
            <w:vAlign w:val="center"/>
          </w:tcPr>
          <w:p>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2505" w:type="dxa"/>
            <w:vAlign w:val="center"/>
          </w:tcPr>
          <w:p>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医疗责任保险服务</w:t>
            </w:r>
          </w:p>
        </w:tc>
        <w:tc>
          <w:tcPr>
            <w:tcW w:w="1961" w:type="dxa"/>
            <w:vAlign w:val="center"/>
          </w:tcPr>
          <w:p>
            <w:pPr>
              <w:tabs>
                <w:tab w:val="left" w:pos="360"/>
              </w:tabs>
              <w:spacing w:line="276" w:lineRule="auto"/>
              <w:jc w:val="cente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auto"/>
                <w:sz w:val="28"/>
                <w:szCs w:val="28"/>
                <w:highlight w:val="none"/>
              </w:rPr>
              <w:t>RMB</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lang w:val="en-US" w:eastAsia="zh-CN"/>
              </w:rPr>
              <w:t>61</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万元</w:t>
            </w:r>
          </w:p>
        </w:tc>
        <w:tc>
          <w:tcPr>
            <w:tcW w:w="4732" w:type="dxa"/>
            <w:vAlign w:val="center"/>
          </w:tcPr>
          <w:p>
            <w:pPr>
              <w:tabs>
                <w:tab w:val="left" w:pos="360"/>
              </w:tabs>
              <w:spacing w:line="276"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一年，自 202</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年12月26日零时起至202</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年12月25日二十四时止</w:t>
            </w:r>
          </w:p>
        </w:tc>
      </w:tr>
    </w:tbl>
    <w:p>
      <w:pP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四、项目具体需求</w:t>
      </w:r>
    </w:p>
    <w:p>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保险方案须包含</w:t>
      </w:r>
      <w:r>
        <w:rPr>
          <w:rFonts w:hint="eastAsia" w:ascii="宋体" w:hAnsi="宋体" w:eastAsia="宋体" w:cs="宋体"/>
          <w:b w:val="0"/>
          <w:bCs/>
          <w:color w:val="auto"/>
          <w:sz w:val="28"/>
          <w:szCs w:val="28"/>
          <w:highlight w:val="none"/>
        </w:rPr>
        <w:t>医疗责任保险保障方案、保险索赔、理赔处理程序预案</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医疗机构医疗责任保险条款</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提供服务内容</w:t>
      </w:r>
      <w:r>
        <w:rPr>
          <w:rFonts w:hint="eastAsia" w:ascii="宋体" w:hAnsi="宋体" w:eastAsia="宋体" w:cs="宋体"/>
          <w:b w:val="0"/>
          <w:bCs/>
          <w:color w:val="auto"/>
          <w:sz w:val="28"/>
          <w:szCs w:val="28"/>
          <w:highlight w:val="none"/>
          <w:lang w:eastAsia="zh-CN"/>
        </w:rPr>
        <w:t>及</w:t>
      </w:r>
      <w:r>
        <w:rPr>
          <w:rFonts w:hint="eastAsia" w:ascii="宋体" w:hAnsi="宋体" w:eastAsia="宋体" w:cs="宋体"/>
          <w:b w:val="0"/>
          <w:bCs/>
          <w:color w:val="auto"/>
          <w:sz w:val="28"/>
          <w:szCs w:val="28"/>
          <w:highlight w:val="none"/>
        </w:rPr>
        <w:t>其他</w:t>
      </w:r>
      <w:r>
        <w:rPr>
          <w:rFonts w:hint="eastAsia" w:ascii="宋体" w:hAnsi="宋体" w:eastAsia="宋体" w:cs="宋体"/>
          <w:b w:val="0"/>
          <w:bCs/>
          <w:color w:val="auto"/>
          <w:sz w:val="28"/>
          <w:szCs w:val="28"/>
          <w:highlight w:val="none"/>
          <w:lang w:val="en-US" w:eastAsia="zh-CN"/>
        </w:rPr>
        <w:t>内容。</w:t>
      </w:r>
    </w:p>
    <w:p>
      <w:pPr>
        <w:pStyle w:val="2"/>
        <w:rPr>
          <w:rFonts w:hint="eastAsia" w:ascii="宋体" w:hAnsi="宋体" w:eastAsia="宋体" w:cs="宋体"/>
          <w:b w:val="0"/>
          <w:bCs/>
          <w:color w:val="auto"/>
          <w:sz w:val="28"/>
          <w:szCs w:val="28"/>
          <w:highlight w:val="none"/>
          <w:lang w:val="en-US" w:eastAsia="zh-CN"/>
        </w:rPr>
      </w:pPr>
    </w:p>
    <w:p>
      <w:pPr>
        <w:pStyle w:val="3"/>
        <w:rPr>
          <w:rFonts w:hint="eastAsia"/>
        </w:rPr>
      </w:pPr>
    </w:p>
    <w:tbl>
      <w:tblPr>
        <w:tblStyle w:val="8"/>
        <w:tblW w:w="97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9"/>
        <w:gridCol w:w="7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169" w:type="dxa"/>
            <w:vAlign w:val="center"/>
          </w:tcPr>
          <w:p>
            <w:pPr>
              <w:tabs>
                <w:tab w:val="left" w:pos="1180"/>
              </w:tabs>
              <w:spacing w:line="400" w:lineRule="exact"/>
              <w:ind w:left="49" w:right="-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目</w:t>
            </w:r>
          </w:p>
        </w:tc>
        <w:tc>
          <w:tcPr>
            <w:tcW w:w="7545" w:type="dxa"/>
            <w:vAlign w:val="center"/>
          </w:tcPr>
          <w:p>
            <w:pPr>
              <w:tabs>
                <w:tab w:val="left" w:pos="4000"/>
              </w:tabs>
              <w:spacing w:line="400" w:lineRule="exact"/>
              <w:ind w:left="2798" w:right="27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9714" w:type="dxa"/>
            <w:gridSpan w:val="2"/>
            <w:vAlign w:val="center"/>
          </w:tcPr>
          <w:p>
            <w:pPr>
              <w:spacing w:line="400" w:lineRule="exact"/>
              <w:ind w:left="102" w:right="-20"/>
              <w:jc w:val="left"/>
              <w:rPr>
                <w:rFonts w:hint="eastAsia" w:ascii="宋体" w:hAnsi="宋体" w:eastAsia="宋体" w:cs="宋体"/>
                <w:b/>
                <w:color w:val="auto"/>
                <w:sz w:val="24"/>
                <w:szCs w:val="24"/>
                <w:highlight w:val="none"/>
              </w:rPr>
            </w:pPr>
            <w:r>
              <w:rPr>
                <w:rFonts w:hint="eastAsia" w:ascii="宋体" w:hAnsi="宋体" w:eastAsia="宋体" w:cs="宋体"/>
                <w:b/>
                <w:color w:val="auto"/>
                <w:spacing w:val="2"/>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pacing w:val="1"/>
                <w:sz w:val="24"/>
                <w:szCs w:val="24"/>
                <w:highlight w:val="none"/>
              </w:rPr>
              <w:t>投保人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jc w:val="center"/>
        </w:trPr>
        <w:tc>
          <w:tcPr>
            <w:tcW w:w="2169" w:type="dxa"/>
            <w:vAlign w:val="center"/>
          </w:tcPr>
          <w:p>
            <w:pPr>
              <w:spacing w:line="400" w:lineRule="exact"/>
              <w:ind w:left="102" w:right="-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投保人名称：</w:t>
            </w:r>
          </w:p>
        </w:tc>
        <w:tc>
          <w:tcPr>
            <w:tcW w:w="7545" w:type="dxa"/>
            <w:vAlign w:val="center"/>
          </w:tcPr>
          <w:p>
            <w:pPr>
              <w:spacing w:line="400" w:lineRule="exact"/>
              <w:ind w:left="102" w:right="1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广州医科大学附属中医医院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exact"/>
          <w:jc w:val="center"/>
        </w:trPr>
        <w:tc>
          <w:tcPr>
            <w:tcW w:w="2169" w:type="dxa"/>
            <w:vAlign w:val="center"/>
          </w:tcPr>
          <w:p>
            <w:pPr>
              <w:spacing w:line="400" w:lineRule="exact"/>
              <w:ind w:left="102" w:right="-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投保人地址：</w:t>
            </w:r>
          </w:p>
        </w:tc>
        <w:tc>
          <w:tcPr>
            <w:tcW w:w="7545" w:type="dxa"/>
            <w:vAlign w:val="center"/>
          </w:tcPr>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广州市荔湾区珠玑路16号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9714" w:type="dxa"/>
            <w:gridSpan w:val="2"/>
            <w:vAlign w:val="center"/>
          </w:tcPr>
          <w:p>
            <w:pPr>
              <w:spacing w:line="400" w:lineRule="exact"/>
              <w:ind w:left="102" w:right="-20"/>
              <w:jc w:val="left"/>
              <w:rPr>
                <w:rFonts w:hint="eastAsia" w:ascii="宋体" w:hAnsi="宋体" w:eastAsia="宋体" w:cs="宋体"/>
                <w:b/>
                <w:color w:val="auto"/>
                <w:sz w:val="24"/>
                <w:szCs w:val="24"/>
                <w:highlight w:val="none"/>
              </w:rPr>
            </w:pPr>
            <w:r>
              <w:rPr>
                <w:rFonts w:hint="eastAsia" w:ascii="宋体" w:hAnsi="宋体" w:eastAsia="宋体" w:cs="宋体"/>
                <w:b/>
                <w:color w:val="auto"/>
                <w:spacing w:val="2"/>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pacing w:val="1"/>
                <w:sz w:val="24"/>
                <w:szCs w:val="24"/>
                <w:highlight w:val="none"/>
              </w:rPr>
              <w:t>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23" w:hRule="exact"/>
          <w:jc w:val="center"/>
        </w:trPr>
        <w:tc>
          <w:tcPr>
            <w:tcW w:w="2169" w:type="dxa"/>
            <w:vAlign w:val="center"/>
          </w:tcPr>
          <w:p>
            <w:pPr>
              <w:spacing w:line="400" w:lineRule="exact"/>
              <w:ind w:left="102" w:right="167"/>
              <w:jc w:val="left"/>
              <w:rPr>
                <w:rFonts w:hint="eastAsia" w:ascii="宋体" w:hAnsi="宋体" w:eastAsia="宋体" w:cs="宋体"/>
                <w:b/>
                <w:color w:val="auto"/>
                <w:spacing w:val="1"/>
                <w:position w:val="-1"/>
                <w:sz w:val="24"/>
                <w:szCs w:val="24"/>
                <w:highlight w:val="none"/>
              </w:rPr>
            </w:pPr>
            <w:r>
              <w:rPr>
                <w:rFonts w:hint="eastAsia" w:ascii="宋体" w:hAnsi="宋体" w:eastAsia="宋体" w:cs="宋体"/>
                <w:sz w:val="24"/>
                <w:szCs w:val="24"/>
              </w:rPr>
              <w:t>被保险人名称</w:t>
            </w:r>
          </w:p>
        </w:tc>
        <w:tc>
          <w:tcPr>
            <w:tcW w:w="7545" w:type="dxa"/>
            <w:vAlign w:val="center"/>
          </w:tcPr>
          <w:p>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广州医科大学附属中医医院（广州市中医中药研究所、广州市中医医院、广州中医药大学附属广州中医医院、广州医科大学附属中医医院互联网医院</w:t>
            </w:r>
            <w:r>
              <w:rPr>
                <w:rFonts w:hint="eastAsia" w:ascii="宋体" w:hAnsi="宋体" w:cs="宋体"/>
                <w:color w:val="auto"/>
                <w:sz w:val="24"/>
                <w:szCs w:val="24"/>
                <w:highlight w:val="none"/>
                <w:lang w:eastAsia="zh-CN"/>
              </w:rPr>
              <w:t>、广州市针灸医院</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3" w:hRule="exact"/>
          <w:jc w:val="center"/>
        </w:trPr>
        <w:tc>
          <w:tcPr>
            <w:tcW w:w="2169" w:type="dxa"/>
            <w:vAlign w:val="center"/>
          </w:tcPr>
          <w:p>
            <w:pPr>
              <w:spacing w:line="400" w:lineRule="exact"/>
              <w:ind w:left="102" w:right="167"/>
              <w:jc w:val="left"/>
              <w:rPr>
                <w:rFonts w:hint="eastAsia" w:ascii="宋体" w:hAnsi="宋体" w:eastAsia="宋体" w:cs="宋体"/>
                <w:b/>
                <w:color w:val="auto"/>
                <w:spacing w:val="1"/>
                <w:position w:val="-1"/>
                <w:sz w:val="24"/>
                <w:szCs w:val="24"/>
                <w:highlight w:val="none"/>
                <w:lang w:val="en-US" w:eastAsia="zh-CN"/>
              </w:rPr>
            </w:pPr>
            <w:r>
              <w:rPr>
                <w:rFonts w:hint="eastAsia" w:ascii="宋体" w:hAnsi="宋体" w:eastAsia="宋体" w:cs="宋体"/>
                <w:sz w:val="24"/>
                <w:szCs w:val="24"/>
              </w:rPr>
              <w:t>被保险人</w:t>
            </w:r>
            <w:r>
              <w:rPr>
                <w:rFonts w:hint="eastAsia" w:ascii="宋体" w:hAnsi="宋体" w:eastAsia="宋体" w:cs="宋体"/>
                <w:sz w:val="24"/>
                <w:szCs w:val="24"/>
                <w:lang w:val="en-US" w:eastAsia="zh-CN"/>
              </w:rPr>
              <w:t>地址</w:t>
            </w:r>
          </w:p>
        </w:tc>
        <w:tc>
          <w:tcPr>
            <w:tcW w:w="7545" w:type="dxa"/>
            <w:vAlign w:val="center"/>
          </w:tcPr>
          <w:p>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 广州市荔湾区珠玑路16号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266" w:hRule="exact"/>
          <w:jc w:val="center"/>
        </w:trPr>
        <w:tc>
          <w:tcPr>
            <w:tcW w:w="2169" w:type="dxa"/>
            <w:vAlign w:val="center"/>
          </w:tcPr>
          <w:p>
            <w:pPr>
              <w:spacing w:line="400" w:lineRule="exact"/>
              <w:ind w:left="102" w:right="167"/>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被保险人下属机构名称及地址</w:t>
            </w:r>
          </w:p>
        </w:tc>
        <w:tc>
          <w:tcPr>
            <w:tcW w:w="7545" w:type="dxa"/>
            <w:vAlign w:val="center"/>
          </w:tcPr>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被保险人：广州医科大学附属中医医院五羊门诊</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址：广州市越秀区五羊新城H13座首层</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被保险人：广州医科大学附属中医医院同德门诊</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址：广州市白云区西</w:t>
            </w:r>
            <w:r>
              <w:rPr>
                <w:rFonts w:hint="eastAsia" w:ascii="宋体" w:hAnsi="宋体" w:cs="宋体"/>
                <w:sz w:val="24"/>
                <w:szCs w:val="24"/>
                <w:lang w:val="en-US" w:eastAsia="zh-CN"/>
              </w:rPr>
              <w:t>槎</w:t>
            </w:r>
            <w:r>
              <w:rPr>
                <w:rFonts w:hint="eastAsia" w:ascii="宋体" w:hAnsi="宋体" w:eastAsia="宋体" w:cs="宋体"/>
                <w:sz w:val="24"/>
                <w:szCs w:val="24"/>
              </w:rPr>
              <w:t>路横滘二路27号</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被保险人：广州医科大学附属中医医院同德围分院</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址：广州市白云区西</w:t>
            </w:r>
            <w:r>
              <w:rPr>
                <w:rFonts w:hint="eastAsia" w:ascii="宋体" w:hAnsi="宋体" w:cs="宋体"/>
                <w:sz w:val="24"/>
                <w:szCs w:val="24"/>
                <w:lang w:val="en-US" w:eastAsia="zh-CN"/>
              </w:rPr>
              <w:t>槎</w:t>
            </w:r>
            <w:r>
              <w:rPr>
                <w:rFonts w:hint="eastAsia" w:ascii="宋体" w:hAnsi="宋体" w:eastAsia="宋体" w:cs="宋体"/>
                <w:sz w:val="24"/>
                <w:szCs w:val="24"/>
              </w:rPr>
              <w:t>路横滘二路81号</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被保险人：广州医科大学附属中医医院天河院区</w:t>
            </w:r>
          </w:p>
          <w:p>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址：广州市天河区天坤三路95号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23" w:hRule="exact"/>
          <w:jc w:val="center"/>
        </w:trPr>
        <w:tc>
          <w:tcPr>
            <w:tcW w:w="2169" w:type="dxa"/>
            <w:vAlign w:val="center"/>
          </w:tcPr>
          <w:p>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b/>
                <w:color w:val="auto"/>
                <w:spacing w:val="1"/>
                <w:position w:val="-1"/>
                <w:sz w:val="24"/>
                <w:szCs w:val="24"/>
                <w:highlight w:val="none"/>
              </w:rPr>
              <w:t>3</w:t>
            </w:r>
            <w:r>
              <w:rPr>
                <w:rFonts w:hint="eastAsia" w:ascii="宋体" w:hAnsi="宋体" w:eastAsia="宋体" w:cs="宋体"/>
                <w:b/>
                <w:color w:val="auto"/>
                <w:spacing w:val="1"/>
                <w:position w:val="-1"/>
                <w:sz w:val="24"/>
                <w:szCs w:val="24"/>
                <w:highlight w:val="none"/>
                <w:lang w:val="en-US" w:eastAsia="zh-CN"/>
              </w:rPr>
              <w:t>.</w:t>
            </w:r>
            <w:r>
              <w:rPr>
                <w:rFonts w:hint="eastAsia" w:ascii="宋体" w:hAnsi="宋体" w:eastAsia="宋体" w:cs="宋体"/>
                <w:b/>
                <w:color w:val="auto"/>
                <w:spacing w:val="1"/>
                <w:position w:val="-1"/>
                <w:sz w:val="24"/>
                <w:szCs w:val="24"/>
                <w:highlight w:val="none"/>
              </w:rPr>
              <w:t>赔偿限额</w:t>
            </w:r>
          </w:p>
        </w:tc>
        <w:tc>
          <w:tcPr>
            <w:tcW w:w="7545" w:type="dxa"/>
            <w:vAlign w:val="center"/>
          </w:tcPr>
          <w:p>
            <w:pPr>
              <w:spacing w:line="460" w:lineRule="atLeast"/>
              <w:ind w:left="102" w:right="1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累计赔偿限额（即全年累计赔偿限额）：</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320</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atLeast"/>
              <w:ind w:left="102" w:right="1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每次事故赔偿限额（即每次保险事故赔偿限额）：</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atLeast"/>
              <w:ind w:left="102" w:right="167"/>
              <w:rPr>
                <w:rFonts w:hint="eastAsia" w:ascii="宋体" w:hAnsi="宋体" w:eastAsia="宋体" w:cs="宋体"/>
                <w:b/>
                <w:bCs/>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法律费用每次及累计赔偿限额: </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b/>
                <w:bCs/>
                <w:color w:val="auto"/>
                <w:sz w:val="24"/>
                <w:szCs w:val="24"/>
                <w:highlight w:val="none"/>
              </w:rPr>
              <w:t>。</w:t>
            </w:r>
          </w:p>
          <w:p>
            <w:pPr>
              <w:spacing w:line="400" w:lineRule="exact"/>
              <w:ind w:left="102" w:right="167"/>
              <w:jc w:val="lef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169" w:type="dxa"/>
            <w:vAlign w:val="center"/>
          </w:tcPr>
          <w:p>
            <w:pPr>
              <w:spacing w:line="400" w:lineRule="exact"/>
              <w:ind w:left="40" w:leftChars="20" w:right="-72" w:rightChars="-3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免赔额：</w:t>
            </w:r>
          </w:p>
        </w:tc>
        <w:tc>
          <w:tcPr>
            <w:tcW w:w="7545" w:type="dxa"/>
            <w:vAlign w:val="center"/>
          </w:tcPr>
          <w:p>
            <w:pPr>
              <w:spacing w:line="400" w:lineRule="exact"/>
              <w:ind w:left="40" w:leftChars="20" w:right="138" w:rightChars="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6" w:hRule="exact"/>
          <w:jc w:val="center"/>
        </w:trPr>
        <w:tc>
          <w:tcPr>
            <w:tcW w:w="2169" w:type="dxa"/>
            <w:vAlign w:val="center"/>
          </w:tcPr>
          <w:p>
            <w:pPr>
              <w:spacing w:line="400" w:lineRule="exact"/>
              <w:ind w:left="40" w:leftChars="20" w:right="-72" w:rightChars="-3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适用条款：</w:t>
            </w:r>
          </w:p>
        </w:tc>
        <w:tc>
          <w:tcPr>
            <w:tcW w:w="7545" w:type="dxa"/>
            <w:vAlign w:val="center"/>
          </w:tcPr>
          <w:p>
            <w:pPr>
              <w:spacing w:line="400" w:lineRule="exact"/>
              <w:ind w:left="40" w:leftChars="20" w:right="138" w:rightChars="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广东</w:t>
            </w:r>
            <w:r>
              <w:rPr>
                <w:rFonts w:hint="eastAsia" w:ascii="宋体" w:hAnsi="宋体" w:eastAsia="宋体" w:cs="宋体"/>
                <w:color w:val="auto"/>
                <w:sz w:val="24"/>
                <w:szCs w:val="24"/>
                <w:highlight w:val="none"/>
              </w:rPr>
              <w:t>医疗机构医疗责任保险</w:t>
            </w:r>
            <w:r>
              <w:rPr>
                <w:rFonts w:hint="eastAsia" w:ascii="宋体" w:hAnsi="宋体" w:eastAsia="宋体" w:cs="宋体"/>
                <w:color w:val="auto"/>
                <w:sz w:val="24"/>
                <w:szCs w:val="24"/>
                <w:highlight w:val="none"/>
                <w:lang w:val="en-US" w:eastAsia="zh-CN"/>
              </w:rPr>
              <w:t>示范</w:t>
            </w:r>
            <w:r>
              <w:rPr>
                <w:rFonts w:hint="eastAsia" w:ascii="宋体" w:hAnsi="宋体" w:eastAsia="宋体" w:cs="宋体"/>
                <w:color w:val="auto"/>
                <w:sz w:val="24"/>
                <w:szCs w:val="24"/>
                <w:highlight w:val="none"/>
              </w:rPr>
              <w:t>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7" w:hRule="atLeast"/>
          <w:jc w:val="center"/>
        </w:trPr>
        <w:tc>
          <w:tcPr>
            <w:tcW w:w="2169" w:type="dxa"/>
            <w:vAlign w:val="center"/>
          </w:tcPr>
          <w:p>
            <w:pPr>
              <w:tabs>
                <w:tab w:val="left" w:pos="1620"/>
              </w:tabs>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特别约定：</w:t>
            </w:r>
          </w:p>
        </w:tc>
        <w:tc>
          <w:tcPr>
            <w:tcW w:w="7545" w:type="dxa"/>
            <w:vAlign w:val="center"/>
          </w:tcPr>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w:t>
            </w:r>
            <w:r>
              <w:rPr>
                <w:rFonts w:hint="eastAsia" w:ascii="宋体" w:hAnsi="宋体" w:eastAsia="宋体" w:cs="宋体"/>
                <w:sz w:val="24"/>
                <w:szCs w:val="24"/>
              </w:rPr>
              <w:t>每个保险年度被保险人通过自主处理此类案</w:t>
            </w:r>
            <w:r>
              <w:rPr>
                <w:rFonts w:hint="eastAsia" w:ascii="宋体" w:hAnsi="宋体" w:eastAsia="宋体" w:cs="宋体"/>
                <w:sz w:val="24"/>
                <w:szCs w:val="24"/>
                <w:highlight w:val="none"/>
              </w:rPr>
              <w:t>件的赔偿金额</w:t>
            </w:r>
            <w:r>
              <w:rPr>
                <w:rFonts w:hint="eastAsia" w:ascii="宋体" w:hAnsi="宋体" w:eastAsia="宋体" w:cs="宋体"/>
                <w:sz w:val="24"/>
                <w:szCs w:val="24"/>
                <w:highlight w:val="none"/>
                <w:lang w:eastAsia="zh-CN"/>
              </w:rPr>
              <w:t>（不含法律费用）</w:t>
            </w:r>
            <w:r>
              <w:rPr>
                <w:rFonts w:hint="eastAsia" w:ascii="宋体" w:hAnsi="宋体" w:eastAsia="宋体" w:cs="宋体"/>
                <w:sz w:val="24"/>
                <w:szCs w:val="24"/>
                <w:highlight w:val="none"/>
              </w:rPr>
              <w:t>累计不超过</w:t>
            </w:r>
            <w:r>
              <w:rPr>
                <w:rFonts w:hint="eastAsia" w:ascii="宋体" w:hAnsi="宋体" w:eastAsia="宋体" w:cs="宋体"/>
                <w:sz w:val="24"/>
                <w:szCs w:val="24"/>
                <w:highlight w:val="none"/>
                <w:lang w:eastAsia="zh-CN"/>
              </w:rPr>
              <w:t>应缴</w:t>
            </w:r>
            <w:r>
              <w:rPr>
                <w:rFonts w:hint="eastAsia" w:ascii="宋体" w:hAnsi="宋体" w:eastAsia="宋体" w:cs="宋体"/>
                <w:sz w:val="24"/>
                <w:szCs w:val="24"/>
                <w:highlight w:val="none"/>
              </w:rPr>
              <w:t>保费的10%，自主处理次数不限。</w:t>
            </w:r>
          </w:p>
          <w:p>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color w:val="auto"/>
                <w:sz w:val="24"/>
                <w:szCs w:val="24"/>
                <w:lang w:val="en-US" w:eastAsia="zh-CN"/>
              </w:rPr>
              <w:t>6.3</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w:t>
            </w:r>
            <w:r>
              <w:rPr>
                <w:rFonts w:hint="eastAsia" w:ascii="宋体" w:hAnsi="宋体" w:eastAsia="宋体" w:cs="宋体"/>
                <w:color w:val="auto"/>
                <w:sz w:val="24"/>
                <w:szCs w:val="24"/>
              </w:rPr>
              <w:t>，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hint="eastAsia" w:ascii="宋体" w:hAnsi="宋体" w:eastAsia="宋体" w:cs="宋体"/>
                <w:sz w:val="24"/>
                <w:szCs w:val="24"/>
                <w:lang w:eastAsia="zh-CN"/>
              </w:rPr>
              <w:t>。</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一致，保险人同意将被保险人根据外聘合同聘用以及根据卫生行政部门制定的帮扶政策聘用的外聘医务人员、或正常会诊的非本医疗机构的医务人员视为被保险人的医务人员。</w:t>
            </w:r>
          </w:p>
          <w:p>
            <w:pPr>
              <w:pStyle w:val="2"/>
              <w:jc w:val="both"/>
              <w:rPr>
                <w:rFonts w:hint="eastAsia" w:ascii="宋体" w:hAnsi="宋体" w:eastAsia="宋体" w:cs="宋体"/>
                <w:sz w:val="24"/>
                <w:szCs w:val="24"/>
                <w:lang w:val="en-US" w:eastAsia="zh-CN"/>
              </w:rPr>
            </w:pPr>
          </w:p>
          <w:p>
            <w:pPr>
              <w:pStyle w:val="2"/>
              <w:jc w:val="both"/>
              <w:rPr>
                <w:rFonts w:hint="eastAsia" w:ascii="宋体" w:hAnsi="宋体" w:eastAsia="宋体" w:cs="宋体"/>
                <w:sz w:val="24"/>
                <w:szCs w:val="24"/>
                <w:lang w:val="en-US" w:eastAsia="zh-CN"/>
              </w:rPr>
            </w:pPr>
            <w:r>
              <w:rPr>
                <w:rFonts w:hint="eastAsia" w:eastAsia="宋体" w:cs="宋体"/>
                <w:sz w:val="24"/>
                <w:szCs w:val="24"/>
                <w:lang w:val="en-US" w:eastAsia="zh-CN"/>
              </w:rPr>
              <w:t>6</w:t>
            </w:r>
            <w:r>
              <w:rPr>
                <w:rFonts w:hint="eastAsia" w:ascii="宋体" w:hAnsi="宋体" w:eastAsia="宋体" w:cs="宋体"/>
                <w:sz w:val="24"/>
                <w:szCs w:val="24"/>
                <w:lang w:val="en-US" w:eastAsia="zh-CN"/>
              </w:rPr>
              <w:t>.</w:t>
            </w:r>
            <w:r>
              <w:rPr>
                <w:rFonts w:hint="eastAsia" w:eastAsia="宋体" w:cs="宋体"/>
                <w:sz w:val="24"/>
                <w:szCs w:val="24"/>
                <w:lang w:val="en-US" w:eastAsia="zh-CN"/>
              </w:rPr>
              <w:t>6</w:t>
            </w:r>
            <w:r>
              <w:rPr>
                <w:rFonts w:hint="eastAsia" w:ascii="宋体" w:hAnsi="宋体" w:eastAsia="宋体" w:cs="宋体"/>
                <w:sz w:val="24"/>
                <w:szCs w:val="24"/>
                <w:lang w:val="en-US" w:eastAsia="zh-CN"/>
              </w:rPr>
              <w:t xml:space="preserve">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 被保险人聘用的医务人员，在注册或变更注册期间</w:t>
            </w:r>
            <w:r>
              <w:rPr>
                <w:rFonts w:hint="eastAsia" w:ascii="宋体" w:hAnsi="宋体" w:eastAsia="宋体" w:cs="宋体"/>
                <w:sz w:val="24"/>
                <w:szCs w:val="24"/>
                <w:highlight w:val="none"/>
                <w:lang w:val="en-US" w:eastAsia="zh-CN"/>
              </w:rPr>
              <w:t>或根据卫生行政部门规定及要求到指定区域范围内从事诊疗活动</w:t>
            </w:r>
            <w:r>
              <w:rPr>
                <w:rFonts w:hint="eastAsia" w:ascii="宋体" w:hAnsi="宋体" w:eastAsia="宋体" w:cs="宋体"/>
                <w:sz w:val="24"/>
                <w:szCs w:val="24"/>
                <w:lang w:val="en-US" w:eastAsia="zh-CN"/>
              </w:rPr>
              <w:t>发生的保险事故，属于保险责任范围。</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 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pPr>
              <w:pStyle w:val="2"/>
              <w:jc w:val="both"/>
              <w:rPr>
                <w:rFonts w:hint="eastAsia" w:ascii="宋体" w:hAnsi="宋体" w:eastAsia="宋体" w:cs="宋体"/>
                <w:sz w:val="24"/>
                <w:szCs w:val="24"/>
                <w:lang w:val="en-US" w:eastAsia="zh-CN"/>
              </w:rPr>
            </w:pPr>
            <w:r>
              <w:rPr>
                <w:rFonts w:hint="eastAsia" w:eastAsia="宋体" w:cs="宋体"/>
                <w:sz w:val="24"/>
                <w:szCs w:val="24"/>
                <w:lang w:val="en-US" w:eastAsia="zh-CN"/>
              </w:rPr>
              <w:t>6</w:t>
            </w:r>
            <w:r>
              <w:rPr>
                <w:rFonts w:hint="eastAsia" w:ascii="宋体" w:hAnsi="宋体" w:eastAsia="宋体" w:cs="宋体"/>
                <w:sz w:val="24"/>
                <w:szCs w:val="24"/>
                <w:lang w:val="en-US" w:eastAsia="zh-CN"/>
              </w:rPr>
              <w:t>.</w:t>
            </w:r>
            <w:r>
              <w:rPr>
                <w:rFonts w:hint="eastAsia" w:eastAsia="宋体" w:cs="宋体"/>
                <w:sz w:val="24"/>
                <w:szCs w:val="24"/>
                <w:lang w:val="en-US" w:eastAsia="zh-CN"/>
              </w:rPr>
              <w:t>9</w:t>
            </w:r>
            <w:r>
              <w:rPr>
                <w:rFonts w:hint="eastAsia" w:ascii="宋体" w:hAnsi="宋体" w:eastAsia="宋体" w:cs="宋体"/>
                <w:sz w:val="24"/>
                <w:szCs w:val="24"/>
                <w:lang w:val="en-US" w:eastAsia="zh-CN"/>
              </w:rPr>
              <w:t xml:space="preserve">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exact"/>
          <w:jc w:val="center"/>
        </w:trPr>
        <w:tc>
          <w:tcPr>
            <w:tcW w:w="2169" w:type="dxa"/>
            <w:vAlign w:val="center"/>
          </w:tcPr>
          <w:p>
            <w:pPr>
              <w:spacing w:line="400" w:lineRule="exact"/>
              <w:ind w:left="40" w:leftChars="20" w:right="-72" w:rightChars="-36"/>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14:textFill>
                  <w14:solidFill>
                    <w14:schemeClr w14:val="tx1"/>
                  </w14:solidFill>
                </w14:textFill>
              </w:rPr>
              <w:t>保险期限：</w:t>
            </w:r>
          </w:p>
        </w:tc>
        <w:tc>
          <w:tcPr>
            <w:tcW w:w="7545" w:type="dxa"/>
            <w:vAlign w:val="center"/>
          </w:tcPr>
          <w:p>
            <w:pPr>
              <w:spacing w:line="400" w:lineRule="exact"/>
              <w:ind w:left="40" w:leftChars="20" w:right="138" w:rightChars="6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一年</w:t>
            </w:r>
            <w:r>
              <w:rPr>
                <w:rFonts w:hint="eastAsia" w:ascii="宋体" w:hAnsi="宋体" w:eastAsia="宋体" w:cs="宋体"/>
                <w:b w:val="0"/>
                <w:bCs/>
                <w:color w:val="000000" w:themeColor="text1"/>
                <w:sz w:val="24"/>
                <w:szCs w:val="24"/>
                <w:highlight w:val="none"/>
                <w14:textFill>
                  <w14:solidFill>
                    <w14:schemeClr w14:val="tx1"/>
                  </w14:solidFill>
                </w14:textFill>
              </w:rPr>
              <w:t>，自 202</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年12月26日零时起至202</w:t>
            </w: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年12月25日二十四时止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9" w:hRule="exact"/>
          <w:jc w:val="center"/>
        </w:trPr>
        <w:tc>
          <w:tcPr>
            <w:tcW w:w="2169" w:type="dxa"/>
            <w:vAlign w:val="center"/>
          </w:tcPr>
          <w:p>
            <w:pPr>
              <w:spacing w:line="400" w:lineRule="exact"/>
              <w:ind w:left="40" w:leftChars="20" w:right="-72" w:rightChars="-36"/>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val="0"/>
                <w:color w:val="000000" w:themeColor="text1"/>
                <w:sz w:val="24"/>
                <w:szCs w:val="24"/>
                <w:highlight w:val="none"/>
                <w14:textFill>
                  <w14:solidFill>
                    <w14:schemeClr w14:val="tx1"/>
                  </w14:solidFill>
                </w14:textFill>
              </w:rPr>
              <w:t>追溯期：</w:t>
            </w:r>
          </w:p>
        </w:tc>
        <w:tc>
          <w:tcPr>
            <w:tcW w:w="7545" w:type="dxa"/>
            <w:vAlign w:val="center"/>
          </w:tcPr>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三年，自 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年12月26日零时起至202</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年12月25日二十四时止</w:t>
            </w:r>
          </w:p>
          <w:p>
            <w:pPr>
              <w:spacing w:line="400" w:lineRule="exact"/>
              <w:ind w:left="40" w:leftChars="20" w:right="138" w:rightChars="6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连续投保追溯期设定：连续投保，本保险追溯期从首次投保合同生效之日起算，最长不超过三年。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exact"/>
          <w:jc w:val="center"/>
        </w:trPr>
        <w:tc>
          <w:tcPr>
            <w:tcW w:w="2169" w:type="dxa"/>
            <w:vAlign w:val="center"/>
          </w:tcPr>
          <w:p>
            <w:pPr>
              <w:spacing w:line="400" w:lineRule="exact"/>
              <w:ind w:left="40" w:leftChars="20" w:right="-72" w:rightChars="-36"/>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保费支付：</w:t>
            </w:r>
          </w:p>
        </w:tc>
        <w:tc>
          <w:tcPr>
            <w:tcW w:w="7545" w:type="dxa"/>
            <w:vAlign w:val="center"/>
          </w:tcPr>
          <w:p>
            <w:pPr>
              <w:spacing w:line="400" w:lineRule="exact"/>
              <w:ind w:left="40" w:leftChars="20" w:right="138" w:rightChars="6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采购合同正式生效后，招标人在保险合同签订后</w:t>
            </w:r>
            <w:r>
              <w:rPr>
                <w:rFonts w:hint="eastAsia" w:ascii="宋体" w:hAnsi="宋体" w:eastAsia="宋体" w:cs="宋体"/>
                <w:b w:val="0"/>
                <w:bCs/>
                <w:color w:val="auto"/>
                <w:sz w:val="24"/>
                <w:szCs w:val="24"/>
                <w:highlight w:val="none"/>
                <w:lang w:val="en-US" w:eastAsia="zh-CN"/>
              </w:rPr>
              <w:t>45</w:t>
            </w:r>
            <w:r>
              <w:rPr>
                <w:rFonts w:hint="eastAsia" w:ascii="宋体" w:hAnsi="宋体" w:eastAsia="宋体" w:cs="宋体"/>
                <w:b w:val="0"/>
                <w:bCs/>
                <w:color w:val="auto"/>
                <w:sz w:val="24"/>
                <w:szCs w:val="24"/>
                <w:highlight w:val="none"/>
              </w:rPr>
              <w:t>个工作日内一次性支付保费。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83" w:hRule="exact"/>
          <w:jc w:val="center"/>
        </w:trPr>
        <w:tc>
          <w:tcPr>
            <w:tcW w:w="2169" w:type="dxa"/>
            <w:vAlign w:val="center"/>
          </w:tcPr>
          <w:p>
            <w:pPr>
              <w:spacing w:line="400" w:lineRule="exact"/>
              <w:ind w:left="40" w:leftChars="20" w:right="-72" w:rightChars="-36"/>
              <w:rPr>
                <w:rFonts w:hint="eastAsia" w:ascii="宋体" w:hAnsi="宋体" w:eastAsia="宋体" w:cs="宋体"/>
                <w:b/>
                <w:color w:val="auto"/>
                <w:sz w:val="24"/>
                <w:szCs w:val="24"/>
                <w:highlight w:val="none"/>
                <w:lang w:val="en-US" w:eastAsia="zh-CN"/>
              </w:rPr>
            </w:pPr>
            <w:r>
              <w:rPr>
                <w:rFonts w:hint="eastAsia" w:ascii="宋体" w:hAnsi="宋体" w:cs="宋体"/>
                <w:b/>
                <w:bCs/>
                <w:sz w:val="24"/>
                <w:szCs w:val="24"/>
                <w:lang w:val="en-US" w:eastAsia="zh-CN"/>
              </w:rPr>
              <w:t>10.</w:t>
            </w:r>
            <w:r>
              <w:rPr>
                <w:rFonts w:ascii="宋体" w:hAnsi="宋体" w:eastAsia="宋体" w:cs="宋体"/>
                <w:b/>
                <w:bCs/>
                <w:sz w:val="24"/>
                <w:szCs w:val="24"/>
              </w:rPr>
              <w:t>理赔服务要求：</w:t>
            </w:r>
          </w:p>
        </w:tc>
        <w:tc>
          <w:tcPr>
            <w:tcW w:w="7545" w:type="dxa"/>
            <w:vAlign w:val="center"/>
          </w:tcPr>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须提供清晰的医疗责任险理赔处理流程。 </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中选人须成立本项目领导管理小组及专项工作负责小组，配备专业服务管理团队，保证服务质量及办公场地、专业从业人员的投入。 </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中选人须指派至少两名服务人员配合医院成立服务小组，为医院提供包含且不限于以下的服务：协助医院处理突发性事件的调查、处理，医疗责任险理赔材料的收集、递交及理赔跟进等工作。专职人员应当提供优良服务，能够专业且全面地为采购人解决各类问题，同时向采购人汇报医疗责任险相关的最新情况。若采购人认为中选人所安排专职人员不能够满足上述业务能力要求的，采购人有权要求进行更换，直至满足要求为止。 </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（4）培训制度：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保险合同有效期内，承保人应协助保险经纪人为投保人/被保险人集中举办至少两次保险和风险防范培训，以提高投保人/被保险人相关人员的保险与风险管理知识。培训计划由保险经纪股份有限公司、承保保险公司共同协商确定。 </w:t>
            </w:r>
          </w:p>
          <w:p>
            <w:pPr>
              <w:spacing w:line="400" w:lineRule="exact"/>
              <w:ind w:left="40" w:leftChars="20" w:right="138" w:rightChars="69"/>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（5）理赔时效要求：</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1万元以下（含1万元）的赔案，3个工作日内作出赔付；</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1—5万元（不含1万元，含5万元）的赔案，5个工作日内作出赔付；</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5—20万元（不含5万元，含20万元）的赔案，7个工作日内作出赔付；</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20万元以上的赔案，10个工作日内作出赔付。</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（6）小额案件快速处理约定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：对于赔偿金额在人民币1万元以下（含）的医疗纠纷，被保险人有权通过自行处理与患者达成和解，但亦不因此而排除被保险人通过其他合法途径处理此类医疗纠纷的权利，保险人有权了解医疗纠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纷的处理情况；被保险人通过自行和解方式与患者达成赔偿协议后，保险人应根据此赔偿协议进行保险赔付。</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）核损核赔时效制：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保险人在进行现场查勘后，就初步核损金额，在收到被保险人提交的完整索赔资料，经医调委听证或合议程序处理的，收到合议决定、调解协议书副本和相关材料后，在下述规定时间内作出理赔决定，以便快速理赔。</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①索赔金额在人民币5万元（或等值外币，含5万元）以下的，应在5个工作日内向被保险人提出异议，若在上述时间内未提出异议的，即视为双方就赔偿结果达成一致。</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②索赔金额在人民币5—30万元（或等值外币，不含5万元，含30万元）的，应在7工作日内向被保险人提出异议，若在上述时间内未提出异议的，即视为双方就赔偿结果达成一致。</w:t>
            </w: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③30万元以上的赔案（或等值外币）以上的，应在10工作日内向被保险人提出异议，若在上述时间内未提出异议的，即视为双方就赔偿结果达成一致。</w:t>
            </w:r>
          </w:p>
          <w:p>
            <w:pPr>
              <w:pStyle w:val="2"/>
              <w:ind w:left="0" w:leftChars="0" w:firstLine="0" w:firstLineChars="0"/>
              <w:rPr>
                <w:rFonts w:hint="eastAsia"/>
                <w:lang w:eastAsia="zh-CN"/>
              </w:rPr>
            </w:pPr>
          </w:p>
          <w:p>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42483"/>
    <w:rsid w:val="112B6BB8"/>
    <w:rsid w:val="16967BC3"/>
    <w:rsid w:val="40E42483"/>
    <w:rsid w:val="4F0156B5"/>
    <w:rsid w:val="5D13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0"/>
      <w:szCs w:val="20"/>
      <w:lang w:val="en-US" w:eastAsia="zh-CN" w:bidi="ar-SA"/>
    </w:rPr>
  </w:style>
  <w:style w:type="paragraph" w:styleId="4">
    <w:name w:val="heading 2"/>
    <w:basedOn w:val="1"/>
    <w:next w:val="1"/>
    <w:unhideWhenUsed/>
    <w:qFormat/>
    <w:uiPriority w:val="0"/>
    <w:pPr>
      <w:keepNext/>
      <w:keepLines/>
      <w:spacing w:before="260" w:after="260" w:line="413" w:lineRule="auto"/>
      <w:jc w:val="left"/>
      <w:outlineLvl w:val="1"/>
    </w:pPr>
    <w:rPr>
      <w:rFonts w:ascii="Arial" w:hAnsi="Arial" w:eastAsia="宋体"/>
      <w:b/>
    </w:rPr>
  </w:style>
  <w:style w:type="paragraph" w:styleId="5">
    <w:name w:val="heading 3"/>
    <w:basedOn w:val="1"/>
    <w:next w:val="1"/>
    <w:unhideWhenUsed/>
    <w:qFormat/>
    <w:uiPriority w:val="0"/>
    <w:pPr>
      <w:spacing w:before="260" w:after="260" w:line="413" w:lineRule="auto"/>
      <w:jc w:val="center"/>
      <w:outlineLvl w:val="2"/>
    </w:pPr>
    <w:rPr>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 w:type="paragraph" w:styleId="6">
    <w:name w:val="Body Text"/>
    <w:basedOn w:val="1"/>
    <w:qFormat/>
    <w:uiPriority w:val="99"/>
    <w:pPr>
      <w:spacing w:line="360" w:lineRule="auto"/>
    </w:pPr>
    <w:rPr>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2024-02-04T09:41:00Z</dcterms:created>
  <dc:creator>LiuJ</dc:creator>
  <cp:lastModifiedBy>Administrator</cp:lastModifiedBy>
  <dcterms:modified xsi:type="dcterms:W3CDTF">2024-12-30T01:42:08Z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A771B80CB61B43C0B7CF42E2FC819CD0</vt:lpwstr>
  </property>
</Properties>
</file>